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3-12 m</w:t>
            </w:r>
          </w:p>
        </w:tc>
      </w:tr>
      <w:tr>
        <w:tc>
          <w:tcPr>
            <w:tcW w:type="dxa" w:w="4536"/>
          </w:tcPr>
          <w:p>
            <w:r/>
            <w:r>
              <w:rPr>
                <w:sz w:val="19"/>
              </w:rPr>
              <w:t>Sanitary seal</w:t>
            </w:r>
          </w:p>
        </w:tc>
        <w:tc>
          <w:tcPr>
            <w:tcW w:type="dxa" w:w="4536"/>
          </w:tcPr>
          <w:p>
            <w:r/>
            <w:r>
              <w:rPr>
                <w:sz w:val="19"/>
              </w:rPr>
              <w:t>0-3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40 m</w:t>
            </w:r>
          </w:p>
        </w:tc>
      </w:tr>
    </w:tbl>
    <w:p/>
    <w:p>
      <w:pPr>
        <w:jc w:val="center"/>
      </w:pPr>
      <w:r>
        <w:drawing>
          <wp:inline xmlns:a="http://schemas.openxmlformats.org/drawingml/2006/main" xmlns:pic="http://schemas.openxmlformats.org/drawingml/2006/picture">
            <wp:extent cx="4860000" cy="5538140"/>
            <wp:docPr id="1" name="Picture 1"/>
            <wp:cNvGraphicFramePr>
              <a:graphicFrameLocks noChangeAspect="1"/>
            </wp:cNvGraphicFramePr>
            <a:graphic>
              <a:graphicData uri="http://schemas.openxmlformats.org/drawingml/2006/picture">
                <pic:pic>
                  <pic:nvPicPr>
                    <pic:cNvPr id="0" name="borehole_design.png"/>
                    <pic:cNvPicPr/>
                  </pic:nvPicPr>
                  <pic:blipFill>
                    <a:blip r:embed="rId10"/>
                    <a:stretch>
                      <a:fillRect/>
                    </a:stretch>
                  </pic:blipFill>
                  <pic:spPr>
                    <a:xfrm>
                      <a:off x="0" y="0"/>
                      <a:ext cx="4860000" cy="5538140"/>
                    </a:xfrm>
                    <a:prstGeom prst="rect"/>
                  </pic:spPr>
                </pic:pic>
              </a:graphicData>
            </a:graphic>
          </wp:inline>
        </w:drawing>
      </w:r>
    </w:p>
    <w:p>
      <w:pPr>
        <w:jc w:val="center"/>
      </w:pPr>
      <w:r>
        <w:rPr>
          <w:b/>
          <w:sz w:val="18"/>
        </w:rPr>
        <w:t>Figure 1.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3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2" name="Picture 2"/>
            <wp:cNvGraphicFramePr>
              <a:graphicFrameLocks noChangeAspect="1"/>
            </wp:cNvGraphicFramePr>
            <a:graphic>
              <a:graphicData uri="http://schemas.openxmlformats.org/drawingml/2006/picture">
                <pic:pic>
                  <pic:nvPicPr>
                    <pic:cNvPr id="0" name="test_overview.png"/>
                    <pic:cNvPicPr/>
                  </pic:nvPicPr>
                  <pic:blipFill>
                    <a:blip r:embed="rId11"/>
                    <a:stretch>
                      <a:fillRect/>
                    </a:stretch>
                  </pic:blipFill>
                  <pic:spPr>
                    <a:xfrm>
                      <a:off x="0" y="0"/>
                      <a:ext cx="5400000" cy="2702179"/>
                    </a:xfrm>
                    <a:prstGeom prst="rect"/>
                  </pic:spPr>
                </pic:pic>
              </a:graphicData>
            </a:graphic>
          </wp:inline>
        </w:drawing>
      </w:r>
    </w:p>
    <w:p>
      <w:pPr>
        <w:jc w:val="center"/>
      </w:pPr>
      <w:r>
        <w:rPr>
          <w:b/>
          <w:sz w:val="18"/>
        </w:rPr>
        <w:t>Figure 2.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40 m</w:t>
            </w:r>
          </w:p>
        </w:tc>
      </w:tr>
    </w:tbl>
    <w:p/>
    <w:p>
      <w:pPr>
        <w:pStyle w:val="Heading1"/>
      </w:pPr>
      <w:r>
        <w:t>9. Water Quality Summary</w:t>
      </w:r>
    </w:p>
    <w:p>
      <w:pPr>
        <w:jc w:val="both"/>
      </w:pPr>
      <w:r>
        <w:rPr>
          <w:b w:val="0"/>
          <w:i w:val="0"/>
        </w:rPr>
        <w:t>The water does not meet the health based guideline value(s) for: Manganese.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standard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standard limit (0.3)</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exceeds the national standard limit (0)</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1.01 m3/h (safety factor 1.5 applied to the long term yield).</w:t>
      </w:r>
    </w:p>
    <w:p>
      <w:pPr>
        <w:pStyle w:val="ListBullet"/>
      </w:pPr>
      <w:r>
        <w:t>The pump installation depth is 40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