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r>
        <w:br w:type="page"/>
      </w:r>
    </w:p>
    <w:p>
      <w:pPr>
        <w:pStyle w:val="Heading1"/>
      </w:pPr>
      <w:r>
        <w:t>Table of Contents</w:t>
      </w:r>
    </w:p>
    <w:p>
      <w:r>
        <w:fldChar w:fldCharType="begin"/>
        <w:instrText xml:space="preserve">TOC \o "1-3" \h \z \u</w:instrText>
        <w:fldChar w:fldCharType="separate"/>
        <w:t xml:space="preserve">1. Introduction</w:t>
        <w:br/>
        <w:t xml:space="preserve">2. Background and Geology of the Project Area</w:t>
        <w:br/>
        <w:t xml:space="preserve">3. Field Work</w:t>
        <w:br/>
        <w:t xml:space="preserve">    3.1 Reconnaissance Survey</w:t>
        <w:br/>
        <w:t xml:space="preserve">    3.2 Geophysical Survey</w:t>
        <w:br/>
        <w:t xml:space="preserve">        3.2.1 Vertical Electrical Sounding (VES)</w:t>
        <w:br/>
        <w:t xml:space="preserve">4. Data Analysis and Interpretation</w:t>
        <w:br/>
        <w:t xml:space="preserve">    Drill-target suitability</w:t>
        <w:br/>
        <w:t xml:space="preserve">    Subsurface maps from the survey</w:t>
        <w:br/>
        <w:t xml:space="preserve">5. Conclusions and Recommendations</w:t>
        <w:br/>
        <w:t xml:space="preserve">6. Limitations and Uncertainty</w:t>
        <w:br/>
        <w:t xml:space="preserve">Annex A. Data Verification Notes</w:t>
        <w:fldChar w:fldCharType="end"/>
      </w:r>
    </w:p>
    <w:p>
      <w:r>
        <w:br w:type="page"/>
      </w:r>
    </w:p>
    <w:p>
      <w:pPr>
        <w:pStyle w:val="Heading1"/>
      </w:pPr>
      <w:r>
        <w:t>Executive Summary</w:t>
      </w:r>
    </w:p>
    <w:p>
      <w:pPr>
        <w:jc w:val="both"/>
      </w:pPr>
      <w:r>
        <w:rPr>
          <w:b w:val="0"/>
          <w:i w:val="0"/>
        </w:rPr>
        <w:t>A geophysical siting survey using 2 vertical electrical sounding points was carried out at Rokel, Western Area. Point A (1) is recommended as the preferred drilling location, to a depth of at least 40 m. The most promising water bearing zone at the preferred point lies from 8 m to at least 40 m. Its base is not resolved: the sounding sees to about 40 m and the conductive ground continues below that, so the thickness is a minimum.</w:t>
      </w:r>
    </w:p>
    <w:p>
      <w:r>
        <w:rPr>
          <w:b/>
          <w:i w:val="0"/>
        </w:rPr>
        <w:t>Key findings:</w:t>
      </w:r>
    </w:p>
    <w:p>
      <w:pPr>
        <w:pStyle w:val="ListBullet"/>
      </w:pPr>
      <w:r>
        <w:t>Preferred drilling point: A (1).</w:t>
      </w:r>
    </w:p>
    <w:p>
      <w:pPr>
        <w:pStyle w:val="ListBullet"/>
      </w:pPr>
      <w:r>
        <w:t>Recommended drilling depth: at least 40 m.</w:t>
      </w:r>
    </w:p>
    <w:p>
      <w:pPr>
        <w:pStyle w:val="ListBullet"/>
      </w:pPr>
      <w:r>
        <w:t>Target water zone: 8 m to at least 40 m.</w:t>
      </w:r>
    </w:p>
    <w:p>
      <w:pPr>
        <w:pStyle w:val="ListBullet"/>
      </w:pPr>
      <w:r>
        <w:t>Model fit at the preferred point: ERR 13.3 percent (above target; the layer depths are approximate and the ranking confidence is 0.71).</w:t>
      </w:r>
    </w:p>
    <w:p>
      <w:pPr>
        <w:pStyle w:val="ListBullet"/>
      </w:pPr>
      <w:r>
        <w:t>Yield and water quality can only be confirmed by test drilling and test pumping.</w:t>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site lies on the unit the USGS Geologic Map of Africa maps as Holocene (Qe). Bullom Group (Q, Tb), Miocene to Recent. Sands, clays, clayey sands and lignite over the coastal lowland; alluvium along the drainage. Intergranular, generally the best yields available without deep drilling. Shallow water tables mean the protective cover is thin, so siting must keep clear of latrines and surface drainage. The BGS Africa Groundwater Atlas classes the aquifer here as Unconsolidated intergranular aquifer - moderate to high productivity (tertiary-quaternary unconsolidated sediments). Groundwater potential depends on the thickness of the weathered zone and the degree of fracturing beneath it, which the soundings below resolve.</w:t>
      </w:r>
    </w:p>
    <w:p>
      <w:pPr>
        <w:jc w:val="center"/>
      </w:pPr>
      <w:r>
        <w:drawing>
          <wp:inline xmlns:a="http://schemas.openxmlformats.org/drawingml/2006/main" xmlns:pic="http://schemas.openxmlformats.org/drawingml/2006/picture">
            <wp:extent cx="5400000" cy="5595475"/>
            <wp:docPr id="1" name="Picture 1"/>
            <wp:cNvGraphicFramePr>
              <a:graphicFrameLocks noChangeAspect="1"/>
            </wp:cNvGraphicFramePr>
            <a:graphic>
              <a:graphicData uri="http://schemas.openxmlformats.org/drawingml/2006/picture">
                <pic:pic>
                  <pic:nvPicPr>
                    <pic:cNvPr id="0" name="study_area_map_8p3759_13p1024.png"/>
                    <pic:cNvPicPr/>
                  </pic:nvPicPr>
                  <pic:blipFill>
                    <a:blip r:embed="rId10"/>
                    <a:stretch>
                      <a:fillRect/>
                    </a:stretch>
                  </pic:blipFill>
                  <pic:spPr>
                    <a:xfrm>
                      <a:off x="0" y="0"/>
                      <a:ext cx="5400000" cy="5595475"/>
                    </a:xfrm>
                    <a:prstGeom prst="rect"/>
                  </pic:spPr>
                </pic:pic>
              </a:graphicData>
            </a:graphic>
          </wp:inline>
        </w:drawing>
      </w:r>
    </w:p>
    <w:p>
      <w:pPr>
        <w:pStyle w:val="Caption"/>
        <w:jc w:val="center"/>
      </w:pPr>
      <w:r>
        <w:rPr>
          <w:b/>
          <w:sz w:val="18"/>
        </w:rPr>
        <w:t>Figure 1. Study area at Rokel, with the survey points and its location in Sierra Leone inset. The star is the recommended drilling point, A (1). The survey points are up to 20.7 km apart, which is unusually far for one site; the positions should be checked against the field notes. Boundaries from geoBoundaries (CC BY 4.0).</w:t>
      </w:r>
    </w:p>
    <w:p>
      <w:pPr>
        <w:jc w:val="center"/>
      </w:pPr>
      <w:r>
        <w:drawing>
          <wp:inline xmlns:a="http://schemas.openxmlformats.org/drawingml/2006/main" xmlns:pic="http://schemas.openxmlformats.org/drawingml/2006/picture">
            <wp:extent cx="5400000" cy="5555256"/>
            <wp:docPr id="2" name="Picture 2"/>
            <wp:cNvGraphicFramePr>
              <a:graphicFrameLocks noChangeAspect="1"/>
            </wp:cNvGraphicFramePr>
            <a:graphic>
              <a:graphicData uri="http://schemas.openxmlformats.org/drawingml/2006/picture">
                <pic:pic>
                  <pic:nvPicPr>
                    <pic:cNvPr id="0" name="admin_map_8p3759_13p1024.png"/>
                    <pic:cNvPicPr/>
                  </pic:nvPicPr>
                  <pic:blipFill>
                    <a:blip r:embed="rId11"/>
                    <a:stretch>
                      <a:fillRect/>
                    </a:stretch>
                  </pic:blipFill>
                  <pic:spPr>
                    <a:xfrm>
                      <a:off x="0" y="0"/>
                      <a:ext cx="5400000" cy="5555256"/>
                    </a:xfrm>
                    <a:prstGeom prst="rect"/>
                  </pic:spPr>
                </pic:pic>
              </a:graphicData>
            </a:graphic>
          </wp:inline>
        </w:drawing>
      </w:r>
    </w:p>
    <w:p>
      <w:pPr>
        <w:pStyle w:val="Caption"/>
        <w:jc w:val="center"/>
      </w:pPr>
      <w:r>
        <w:rPr>
          <w:b/>
          <w:sz w:val="18"/>
        </w:rPr>
        <w:t>Figure 2. Location of Rokel. Boundaries from geoBoundaries (CC BY 4.0).</w:t>
      </w:r>
    </w:p>
    <w:p>
      <w:pPr>
        <w:jc w:val="center"/>
      </w:pPr>
      <w:r>
        <w:drawing>
          <wp:inline xmlns:a="http://schemas.openxmlformats.org/drawingml/2006/main" xmlns:pic="http://schemas.openxmlformats.org/drawingml/2006/picture">
            <wp:extent cx="5400000" cy="4904348"/>
            <wp:docPr id="3" name="Picture 3"/>
            <wp:cNvGraphicFramePr>
              <a:graphicFrameLocks noChangeAspect="1"/>
            </wp:cNvGraphicFramePr>
            <a:graphic>
              <a:graphicData uri="http://schemas.openxmlformats.org/drawingml/2006/picture">
                <pic:pic>
                  <pic:nvPicPr>
                    <pic:cNvPr id="0" name="hydro_local_map_8p3759_13p1024.png"/>
                    <pic:cNvPicPr/>
                  </pic:nvPicPr>
                  <pic:blipFill>
                    <a:blip r:embed="rId12"/>
                    <a:stretch>
                      <a:fillRect/>
                    </a:stretch>
                  </pic:blipFill>
                  <pic:spPr>
                    <a:xfrm>
                      <a:off x="0" y="0"/>
                      <a:ext cx="5400000" cy="4904348"/>
                    </a:xfrm>
                    <a:prstGeom prst="rect"/>
                  </pic:spPr>
                </pic:pic>
              </a:graphicData>
            </a:graphic>
          </wp:inline>
        </w:drawing>
      </w:r>
    </w:p>
    <w:p>
      <w:pPr>
        <w:pStyle w:val="Caption"/>
        <w:jc w:val="center"/>
      </w:pPr>
      <w:r>
        <w:rPr>
          <w:b/>
          <w:sz w:val="18"/>
        </w:rPr>
        <w:t>Figure 3. Aquifer type and productivity around the site, from the BGS Africa Groundwater Atlas country map (CC BY-SA 4.0).</w:t>
      </w:r>
    </w:p>
    <w:p>
      <w:pPr>
        <w:jc w:val="center"/>
      </w:pPr>
      <w:r>
        <w:drawing>
          <wp:inline xmlns:a="http://schemas.openxmlformats.org/drawingml/2006/main" xmlns:pic="http://schemas.openxmlformats.org/drawingml/2006/picture">
            <wp:extent cx="5400000" cy="4890073"/>
            <wp:docPr id="4" name="Picture 4"/>
            <wp:cNvGraphicFramePr>
              <a:graphicFrameLocks noChangeAspect="1"/>
            </wp:cNvGraphicFramePr>
            <a:graphic>
              <a:graphicData uri="http://schemas.openxmlformats.org/drawingml/2006/picture">
                <pic:pic>
                  <pic:nvPicPr>
                    <pic:cNvPr id="0" name="geology_local_map_8p3759_13p1024.png"/>
                    <pic:cNvPicPr/>
                  </pic:nvPicPr>
                  <pic:blipFill>
                    <a:blip r:embed="rId13"/>
                    <a:stretch>
                      <a:fillRect/>
                    </a:stretch>
                  </pic:blipFill>
                  <pic:spPr>
                    <a:xfrm>
                      <a:off x="0" y="0"/>
                      <a:ext cx="5400000" cy="4890073"/>
                    </a:xfrm>
                    <a:prstGeom prst="rect"/>
                  </pic:spPr>
                </pic:pic>
              </a:graphicData>
            </a:graphic>
          </wp:inline>
        </w:drawing>
      </w:r>
    </w:p>
    <w:p>
      <w:pPr>
        <w:pStyle w:val="Caption"/>
        <w:jc w:val="center"/>
      </w:pPr>
      <w:r>
        <w:rPr>
          <w:b/>
          <w:sz w:val="18"/>
        </w:rPr>
        <w:t>Figure 4. Geological setting around the site, from the USGS Geologic Map of Africa (1:5,000,000). The Geology of Sierra Leone map (Ministry of Water Resources/SALWACO, 2017) gives the detailed local formations.</w:t>
      </w:r>
    </w:p>
    <w:p>
      <w:pPr>
        <w:pStyle w:val="Heading1"/>
      </w:pPr>
      <w:r>
        <w:t>3. Field Work</w:t>
      </w:r>
    </w:p>
    <w:p>
      <w:pPr>
        <w:pStyle w:val="Heading2"/>
      </w:pPr>
      <w:r>
        <w:t>3.1 Reconnaissance Survey</w:t>
      </w:r>
    </w:p>
    <w:p>
      <w:pPr>
        <w:jc w:val="both"/>
      </w:pPr>
      <w:r>
        <w:rPr>
          <w:b w:val="0"/>
          <w:i w:val="0"/>
        </w:rPr>
        <w:t>No reconnaissance record (date or field observations) was supplied with the sounding data, so none is reported here. The sounding points were taken as recorded on the field sheets, dated 8th December, 2015.</w:t>
      </w:r>
    </w:p>
    <w:p>
      <w:pPr>
        <w:jc w:val="both"/>
      </w:pPr>
      <w:r>
        <w:rPr>
          <w:b w:val="0"/>
          <w:i w:val="0"/>
        </w:rPr>
        <w:t>The weathered zone over the bedrock and the fractured rock beneath it are the groundwater prospects in this ground, and the soundings below are interpreted for both.</w:t>
      </w:r>
    </w:p>
    <w:p>
      <w:pPr>
        <w:jc w:val="both"/>
      </w:pPr>
      <w:r>
        <w:rPr>
          <w:b w:val="0"/>
          <w:i w:val="0"/>
        </w:rPr>
        <w:t>No elevation model was supplied with this survey, so no topographic map is drawn: the toolkit bundles none and invents none. The elevations the crew recorded at the soundings are the ground levels this report has.</w:t>
      </w:r>
    </w:p>
    <w:p>
      <w:r>
        <w:rPr>
          <w:b/>
          <w:i w:val="0"/>
        </w:rPr>
        <w:t>Sounding positions</w:t>
      </w:r>
    </w:p>
    <w:p>
      <w:pPr>
        <w:jc w:val="both"/>
      </w:pPr>
      <w:r>
        <w:rPr>
          <w:b w:val="0"/>
          <w:i w:val="0"/>
        </w:rPr>
        <w:t>2 soundings of 2 carry a recorded GPS position, marked on the study area map. How the points were chosen on the ground is not recorded on the field sheets; where a traverse or profiling was run, its notes belong in the reconnaissance record above.</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Vertical Electrical Sounding (VES)</w:t>
      </w:r>
    </w:p>
    <w:p>
      <w:pPr>
        <w:jc w:val="both"/>
      </w:pPr>
      <w:r>
        <w:rPr>
          <w:b w:val="0"/>
          <w:i w:val="0"/>
        </w:rPr>
        <w:t>2 vertical electrical soundings (A (1), B (2)) were recorded with the Schlumberger electrode configuration, to determine the formation resistivities and the depth to bedrock, and whether water bearing fractures or a saturated weathered zone are present at depth and how thick they are. No resistivity profiling record was supplied.</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5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pPr>
        <w:pStyle w:val="Caption"/>
      </w:pPr>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775701"/>
            <wp:docPr id="5" name="Picture 5"/>
            <wp:cNvGraphicFramePr>
              <a:graphicFrameLocks noChangeAspect="1"/>
            </wp:cNvGraphicFramePr>
            <a:graphic>
              <a:graphicData uri="http://schemas.openxmlformats.org/drawingml/2006/picture">
                <pic:pic>
                  <pic:nvPicPr>
                    <pic:cNvPr id="0" name="ves_curve_Rokel_A_1.png"/>
                    <pic:cNvPicPr/>
                  </pic:nvPicPr>
                  <pic:blipFill>
                    <a:blip r:embed="rId14"/>
                    <a:stretch>
                      <a:fillRect/>
                    </a:stretch>
                  </pic:blipFill>
                  <pic:spPr>
                    <a:xfrm>
                      <a:off x="0" y="0"/>
                      <a:ext cx="5400000" cy="2775701"/>
                    </a:xfrm>
                    <a:prstGeom prst="rect"/>
                  </pic:spPr>
                </pic:pic>
              </a:graphicData>
            </a:graphic>
          </wp:inline>
        </w:drawing>
      </w:r>
    </w:p>
    <w:p>
      <w:pPr>
        <w:pStyle w:val="Caption"/>
        <w:jc w:val="center"/>
      </w:pPr>
      <w:r>
        <w:rPr>
          <w:b/>
          <w:sz w:val="18"/>
        </w:rPr>
        <w:t>Figure 5. Schlumberger array VES curve and model at point A (1). The dashed line is the IPI2Win model (as reported). The model panel is drawn to the depth of investigation (40 m).</w:t>
      </w:r>
    </w:p>
    <w:p>
      <w:pPr>
        <w:pStyle w:val="Caption"/>
      </w:pPr>
      <w:r>
        <w:rPr>
          <w:b/>
          <w:sz w:val="18"/>
        </w:rPr>
        <w:t>Table 2. Layered earth model at point A (1) (curve type K, ERR = 13.3%).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1,106 (x/ 1.3)</w:t>
            </w:r>
          </w:p>
        </w:tc>
        <w:tc>
          <w:tcPr>
            <w:tcW w:type="dxa" w:w="1928"/>
          </w:tcPr>
          <w:p>
            <w:r/>
            <w:r>
              <w:rPr>
                <w:sz w:val="19"/>
              </w:rPr>
              <w:t>1.02 (x/ 3.7)</w:t>
            </w:r>
          </w:p>
        </w:tc>
        <w:tc>
          <w:tcPr>
            <w:tcW w:type="dxa" w:w="1587"/>
          </w:tcPr>
          <w:p>
            <w:r/>
            <w:r>
              <w:rPr>
                <w:sz w:val="19"/>
              </w:rPr>
              <w:t>0</w:t>
            </w:r>
          </w:p>
        </w:tc>
      </w:tr>
      <w:tr>
        <w:tc>
          <w:tcPr>
            <w:tcW w:type="dxa" w:w="680"/>
          </w:tcPr>
          <w:p>
            <w:r/>
            <w:r>
              <w:rPr>
                <w:sz w:val="19"/>
              </w:rPr>
              <w:t>2</w:t>
            </w:r>
          </w:p>
        </w:tc>
        <w:tc>
          <w:tcPr>
            <w:tcW w:type="dxa" w:w="2608"/>
          </w:tcPr>
          <w:p>
            <w:r/>
            <w:r>
              <w:rPr>
                <w:sz w:val="19"/>
              </w:rPr>
              <w:t>1,638 (x/ 1.2)</w:t>
            </w:r>
          </w:p>
        </w:tc>
        <w:tc>
          <w:tcPr>
            <w:tcW w:type="dxa" w:w="1928"/>
          </w:tcPr>
          <w:p>
            <w:r/>
            <w:r>
              <w:rPr>
                <w:sz w:val="19"/>
              </w:rPr>
              <w:t>7.08 (x/ 1.4)</w:t>
            </w:r>
          </w:p>
        </w:tc>
        <w:tc>
          <w:tcPr>
            <w:tcW w:type="dxa" w:w="1587"/>
          </w:tcPr>
          <w:p>
            <w:r/>
            <w:r>
              <w:rPr>
                <w:sz w:val="19"/>
              </w:rPr>
              <w:t>1.02</w:t>
            </w:r>
          </w:p>
        </w:tc>
      </w:tr>
      <w:tr>
        <w:tc>
          <w:tcPr>
            <w:tcW w:type="dxa" w:w="680"/>
          </w:tcPr>
          <w:p>
            <w:r/>
            <w:r>
              <w:rPr>
                <w:sz w:val="19"/>
              </w:rPr>
              <w:t>3</w:t>
            </w:r>
          </w:p>
        </w:tc>
        <w:tc>
          <w:tcPr>
            <w:tcW w:type="dxa" w:w="2608"/>
          </w:tcPr>
          <w:p>
            <w:r/>
            <w:r>
              <w:rPr>
                <w:sz w:val="19"/>
              </w:rPr>
              <w:t>47.28 (x/ 1.1)</w:t>
            </w:r>
          </w:p>
        </w:tc>
        <w:tc>
          <w:tcPr>
            <w:tcW w:type="dxa" w:w="1928"/>
          </w:tcPr>
          <w:p>
            <w:r/>
            <w:r>
              <w:rPr>
                <w:sz w:val="19"/>
              </w:rPr>
              <w:t>half-space</w:t>
            </w:r>
          </w:p>
        </w:tc>
        <w:tc>
          <w:tcPr>
            <w:tcW w:type="dxa" w:w="1587"/>
          </w:tcPr>
          <w:p>
            <w:r/>
            <w:r>
              <w:rPr>
                <w:sz w:val="19"/>
              </w:rPr>
              <w:t>8.1</w:t>
            </w:r>
          </w:p>
        </w:tc>
      </w:tr>
    </w:tbl>
    <w:p/>
    <w:p>
      <w:pPr>
        <w:jc w:val="both"/>
      </w:pPr>
      <w:r>
        <w:rPr>
          <w:b w:val="0"/>
          <w:i w:val="0"/>
        </w:rPr>
        <w:t>Models tried: 2 layers, 15.4%; 3 layers, 13.3%; 4 layers, 13.1%. Of these none reaches the 10 percent target, and the 3-layer model is kept as the simplest within 15 percent of the best fit; the alternatives are equally admissible readings of the same curve.</w:t>
      </w:r>
    </w:p>
    <w:p>
      <w:pPr>
        <w:jc w:val="both"/>
      </w:pPr>
      <w:r>
        <w:rPr>
          <w:b w:val="0"/>
          <w:i w:val="0"/>
        </w:rPr>
        <w:t>The boundary at 1.02 m (x/ 3.7) is poorly resolved: within its uncertainty the model collapses to one with a layer fewer, so the layer count above is a reading of the curve rather than a property of it.</w:t>
      </w:r>
    </w:p>
    <w:p>
      <w:pPr>
        <w:pStyle w:val="Caption"/>
      </w:pPr>
      <w:r>
        <w:rPr>
          <w:b/>
          <w:sz w:val="18"/>
        </w:rPr>
        <w:t>Table 3. IPI2Win model (as reported) at point A (1), reported ERR = 21.5%; on the readings tabled above this toolkit computes ERR = 35.8%.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832.1</w:t>
            </w:r>
          </w:p>
        </w:tc>
        <w:tc>
          <w:tcPr>
            <w:tcW w:type="dxa" w:w="1928"/>
          </w:tcPr>
          <w:p>
            <w:r/>
            <w:r>
              <w:rPr>
                <w:sz w:val="19"/>
              </w:rPr>
              <w:t>1</w:t>
            </w:r>
          </w:p>
        </w:tc>
        <w:tc>
          <w:tcPr>
            <w:tcW w:type="dxa" w:w="1587"/>
          </w:tcPr>
          <w:p>
            <w:r/>
            <w:r>
              <w:rPr>
                <w:sz w:val="19"/>
              </w:rPr>
              <w:t>0</w:t>
            </w:r>
          </w:p>
        </w:tc>
      </w:tr>
      <w:tr>
        <w:tc>
          <w:tcPr>
            <w:tcW w:type="dxa" w:w="680"/>
          </w:tcPr>
          <w:p>
            <w:r/>
            <w:r>
              <w:rPr>
                <w:sz w:val="19"/>
              </w:rPr>
              <w:t>2</w:t>
            </w:r>
          </w:p>
        </w:tc>
        <w:tc>
          <w:tcPr>
            <w:tcW w:type="dxa" w:w="2608"/>
          </w:tcPr>
          <w:p>
            <w:r/>
            <w:r>
              <w:rPr>
                <w:sz w:val="19"/>
              </w:rPr>
              <w:t>2,103</w:t>
            </w:r>
          </w:p>
        </w:tc>
        <w:tc>
          <w:tcPr>
            <w:tcW w:type="dxa" w:w="1928"/>
          </w:tcPr>
          <w:p>
            <w:r/>
            <w:r>
              <w:rPr>
                <w:sz w:val="19"/>
              </w:rPr>
              <w:t>7.37</w:t>
            </w:r>
          </w:p>
        </w:tc>
        <w:tc>
          <w:tcPr>
            <w:tcW w:type="dxa" w:w="1587"/>
          </w:tcPr>
          <w:p>
            <w:r/>
            <w:r>
              <w:rPr>
                <w:sz w:val="19"/>
              </w:rPr>
              <w:t>1</w:t>
            </w:r>
          </w:p>
        </w:tc>
      </w:tr>
      <w:tr>
        <w:tc>
          <w:tcPr>
            <w:tcW w:type="dxa" w:w="680"/>
          </w:tcPr>
          <w:p>
            <w:r/>
            <w:r>
              <w:rPr>
                <w:sz w:val="19"/>
              </w:rPr>
              <w:t>3</w:t>
            </w:r>
          </w:p>
        </w:tc>
        <w:tc>
          <w:tcPr>
            <w:tcW w:type="dxa" w:w="2608"/>
          </w:tcPr>
          <w:p>
            <w:r/>
            <w:r>
              <w:rPr>
                <w:sz w:val="19"/>
              </w:rPr>
              <w:t>36.71</w:t>
            </w:r>
          </w:p>
        </w:tc>
        <w:tc>
          <w:tcPr>
            <w:tcW w:type="dxa" w:w="1928"/>
          </w:tcPr>
          <w:p>
            <w:r/>
            <w:r>
              <w:rPr>
                <w:sz w:val="19"/>
              </w:rPr>
              <w:t>half-space</w:t>
            </w:r>
          </w:p>
        </w:tc>
        <w:tc>
          <w:tcPr>
            <w:tcW w:type="dxa" w:w="1587"/>
          </w:tcPr>
          <w:p>
            <w:r/>
            <w:r>
              <w:rPr>
                <w:sz w:val="19"/>
              </w:rPr>
              <w:t>8.37</w:t>
            </w:r>
          </w:p>
        </w:tc>
      </w:tr>
    </w:tbl>
    <w:p/>
    <w:p>
      <w:pPr>
        <w:jc w:val="both"/>
      </w:pPr>
      <w:r>
        <w:rPr>
          <w:b w:val="0"/>
          <w:i w:val="0"/>
        </w:rPr>
        <w:t>Its reported misfit (21.5 percent) is not reproduced on these readings (35.8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6" name="Picture 6"/>
            <wp:cNvGraphicFramePr>
              <a:graphicFrameLocks noChangeAspect="1"/>
            </wp:cNvGraphicFramePr>
            <a:graphic>
              <a:graphicData uri="http://schemas.openxmlformats.org/drawingml/2006/picture">
                <pic:pic>
                  <pic:nvPicPr>
                    <pic:cNvPr id="0" name="ves_layer_section_Rokel_A_1.png"/>
                    <pic:cNvPicPr/>
                  </pic:nvPicPr>
                  <pic:blipFill>
                    <a:blip r:embed="rId15"/>
                    <a:stretch>
                      <a:fillRect/>
                    </a:stretch>
                  </pic:blipFill>
                  <pic:spPr>
                    <a:xfrm>
                      <a:off x="0" y="0"/>
                      <a:ext cx="5400000" cy="4280861"/>
                    </a:xfrm>
                    <a:prstGeom prst="rect"/>
                  </pic:spPr>
                </pic:pic>
              </a:graphicData>
            </a:graphic>
          </wp:inline>
        </w:drawing>
      </w:r>
    </w:p>
    <w:p>
      <w:pPr>
        <w:pStyle w:val="Caption"/>
        <w:jc w:val="center"/>
      </w:pPr>
      <w:r>
        <w:rPr>
          <w:b/>
          <w:sz w:val="18"/>
        </w:rPr>
        <w:t>Figure 6. Interpreted one-dimensional layer section at point A (1): the resistivity and thickness of each fitted layer, drawn to the depth of investigation (40 m).</w:t>
      </w:r>
    </w:p>
    <w:p>
      <w:pPr>
        <w:jc w:val="both"/>
      </w:pPr>
      <w:r>
        <w:rPr>
          <w:b w:val="0"/>
          <w:i w:val="0"/>
        </w:rPr>
        <w:t>The data at A (1) are fitted with a 3 layer model (type K; a resistive layer between two more conductive layers, often dry laterite or duricrust over a conductive saprolite), though the boundary at 1.02 m is poorly resolved, so the layer count is uncertain. Layer 1 from 0 m to 1.02 m (1.02 m thick) has a resistivity of about 1,106 ohm-m and is interpreted as dry lateritic topsoil / duricrust. Layer 2 from 1.02 m to 8.1 m (7.08 m thick) has a resistivity of about 1,638 ohm-m and is interpreted as compact or dry weathered rock (regolith). Layer 3 below 8.1 m has a resistivity of about 47.28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13.3 percent (ERR), above the target, so the layer depths are approximate. The Dar-Zarrouk longitudinal conductance of the section is 0.00525 siemens and the transverse resistance is 12,700 ohm m2. The cover overlying the water bearing zone has a longitudinal conductance of 0.00525 siemens, indicating a poor protective capacity against surface contamination.</w:t>
      </w:r>
    </w:p>
    <w:p>
      <w:r>
        <w:br w:type="page"/>
      </w:r>
    </w:p>
    <w:p>
      <w:pPr>
        <w:jc w:val="both"/>
      </w:pPr>
      <w:r>
        <w:rPr>
          <w:b w:val="0"/>
          <w:i w:val="0"/>
        </w:rPr>
        <w:t>Table 4 presents the Schlumberger array VES data recorded at point B (2), from which the sounding curve of apparent resistivity against half the current electrode spacing (AB/2) in Figure 7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pPr>
        <w:pStyle w:val="Caption"/>
      </w:pPr>
      <w:r>
        <w:rPr>
          <w:b/>
          <w:sz w:val="18"/>
        </w:rPr>
        <w:t>Table 4.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745763"/>
            <wp:docPr id="7" name="Picture 7"/>
            <wp:cNvGraphicFramePr>
              <a:graphicFrameLocks noChangeAspect="1"/>
            </wp:cNvGraphicFramePr>
            <a:graphic>
              <a:graphicData uri="http://schemas.openxmlformats.org/drawingml/2006/picture">
                <pic:pic>
                  <pic:nvPicPr>
                    <pic:cNvPr id="0" name="ves_curve_Rokel_B_2.png"/>
                    <pic:cNvPicPr/>
                  </pic:nvPicPr>
                  <pic:blipFill>
                    <a:blip r:embed="rId16"/>
                    <a:stretch>
                      <a:fillRect/>
                    </a:stretch>
                  </pic:blipFill>
                  <pic:spPr>
                    <a:xfrm>
                      <a:off x="0" y="0"/>
                      <a:ext cx="5400000" cy="2745763"/>
                    </a:xfrm>
                    <a:prstGeom prst="rect"/>
                  </pic:spPr>
                </pic:pic>
              </a:graphicData>
            </a:graphic>
          </wp:inline>
        </w:drawing>
      </w:r>
    </w:p>
    <w:p>
      <w:pPr>
        <w:pStyle w:val="Caption"/>
        <w:jc w:val="center"/>
      </w:pPr>
      <w:r>
        <w:rPr>
          <w:b/>
          <w:sz w:val="18"/>
        </w:rPr>
        <w:t>Figure 7. Schlumberger array VES curve and model at point B (2). The dashed line is the IPI2Win model (as reported). The model panel is drawn to the depth of investigation (40 m).</w:t>
      </w:r>
    </w:p>
    <w:p>
      <w:pPr>
        <w:pStyle w:val="Caption"/>
      </w:pPr>
      <w:r>
        <w:rPr>
          <w:b/>
          <w:sz w:val="18"/>
        </w:rPr>
        <w:t>Table 5. Layered earth model at point B (2) (curve type 2-layer descending, ERR = 26.8%).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1,193 (x/ 1.1)</w:t>
            </w:r>
          </w:p>
        </w:tc>
        <w:tc>
          <w:tcPr>
            <w:tcW w:type="dxa" w:w="1928"/>
          </w:tcPr>
          <w:p>
            <w:r/>
            <w:r>
              <w:rPr>
                <w:sz w:val="19"/>
              </w:rPr>
              <w:t>8.28 (x/ 1.1)</w:t>
            </w:r>
          </w:p>
        </w:tc>
        <w:tc>
          <w:tcPr>
            <w:tcW w:type="dxa" w:w="1587"/>
          </w:tcPr>
          <w:p>
            <w:r/>
            <w:r>
              <w:rPr>
                <w:sz w:val="19"/>
              </w:rPr>
              <w:t>0</w:t>
            </w:r>
          </w:p>
        </w:tc>
      </w:tr>
      <w:tr>
        <w:tc>
          <w:tcPr>
            <w:tcW w:type="dxa" w:w="680"/>
          </w:tcPr>
          <w:p>
            <w:r/>
            <w:r>
              <w:rPr>
                <w:sz w:val="19"/>
              </w:rPr>
              <w:t>2</w:t>
            </w:r>
          </w:p>
        </w:tc>
        <w:tc>
          <w:tcPr>
            <w:tcW w:type="dxa" w:w="2608"/>
          </w:tcPr>
          <w:p>
            <w:r/>
            <w:r>
              <w:rPr>
                <w:sz w:val="19"/>
              </w:rPr>
              <w:t>49.97 (x/ 1.2)</w:t>
            </w:r>
          </w:p>
        </w:tc>
        <w:tc>
          <w:tcPr>
            <w:tcW w:type="dxa" w:w="1928"/>
          </w:tcPr>
          <w:p>
            <w:r/>
            <w:r>
              <w:rPr>
                <w:sz w:val="19"/>
              </w:rPr>
              <w:t>half-space</w:t>
            </w:r>
          </w:p>
        </w:tc>
        <w:tc>
          <w:tcPr>
            <w:tcW w:type="dxa" w:w="1587"/>
          </w:tcPr>
          <w:p>
            <w:r/>
            <w:r>
              <w:rPr>
                <w:sz w:val="19"/>
              </w:rPr>
              <w:t>8.28</w:t>
            </w:r>
          </w:p>
        </w:tc>
      </w:tr>
    </w:tbl>
    <w:p/>
    <w:p>
      <w:pPr>
        <w:jc w:val="both"/>
      </w:pPr>
      <w:r>
        <w:rPr>
          <w:b w:val="0"/>
          <w:i w:val="0"/>
        </w:rPr>
        <w:t>Models tried: 2 layers, 26.8%; 3 layers, 23.7%; 4 layers, 24.9%. Of these none reaches the 10 percent target, and the 2-layer model is kept as the simplest within 15 percent of the best fit; the alternatives are equally admissible readings of the same curve.</w:t>
      </w:r>
    </w:p>
    <w:p>
      <w:pPr>
        <w:pStyle w:val="Caption"/>
      </w:pPr>
      <w:r>
        <w:rPr>
          <w:b/>
          <w:sz w:val="18"/>
        </w:rPr>
        <w:t>Table 6. IPI2Win model (as reported) at point B (2), reported ERR = 26.5%; on the readings tabled above this toolkit computes ERR = 96.7%.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1,398</w:t>
            </w:r>
          </w:p>
        </w:tc>
        <w:tc>
          <w:tcPr>
            <w:tcW w:type="dxa" w:w="1928"/>
          </w:tcPr>
          <w:p>
            <w:r/>
            <w:r>
              <w:rPr>
                <w:sz w:val="19"/>
              </w:rPr>
              <w:t>0.71</w:t>
            </w:r>
          </w:p>
        </w:tc>
        <w:tc>
          <w:tcPr>
            <w:tcW w:type="dxa" w:w="1587"/>
          </w:tcPr>
          <w:p>
            <w:r/>
            <w:r>
              <w:rPr>
                <w:sz w:val="19"/>
              </w:rPr>
              <w:t>0</w:t>
            </w:r>
          </w:p>
        </w:tc>
      </w:tr>
      <w:tr>
        <w:tc>
          <w:tcPr>
            <w:tcW w:type="dxa" w:w="680"/>
          </w:tcPr>
          <w:p>
            <w:r/>
            <w:r>
              <w:rPr>
                <w:sz w:val="19"/>
              </w:rPr>
              <w:t>2</w:t>
            </w:r>
          </w:p>
        </w:tc>
        <w:tc>
          <w:tcPr>
            <w:tcW w:type="dxa" w:w="2608"/>
          </w:tcPr>
          <w:p>
            <w:r/>
            <w:r>
              <w:rPr>
                <w:sz w:val="19"/>
              </w:rPr>
              <w:t>703</w:t>
            </w:r>
          </w:p>
        </w:tc>
        <w:tc>
          <w:tcPr>
            <w:tcW w:type="dxa" w:w="1928"/>
          </w:tcPr>
          <w:p>
            <w:r/>
            <w:r>
              <w:rPr>
                <w:sz w:val="19"/>
              </w:rPr>
              <w:t>0.87</w:t>
            </w:r>
          </w:p>
        </w:tc>
        <w:tc>
          <w:tcPr>
            <w:tcW w:type="dxa" w:w="1587"/>
          </w:tcPr>
          <w:p>
            <w:r/>
            <w:r>
              <w:rPr>
                <w:sz w:val="19"/>
              </w:rPr>
              <w:t>0.71</w:t>
            </w:r>
          </w:p>
        </w:tc>
      </w:tr>
      <w:tr>
        <w:tc>
          <w:tcPr>
            <w:tcW w:type="dxa" w:w="680"/>
          </w:tcPr>
          <w:p>
            <w:r/>
            <w:r>
              <w:rPr>
                <w:sz w:val="19"/>
              </w:rPr>
              <w:t>3</w:t>
            </w:r>
          </w:p>
        </w:tc>
        <w:tc>
          <w:tcPr>
            <w:tcW w:type="dxa" w:w="2608"/>
          </w:tcPr>
          <w:p>
            <w:r/>
            <w:r>
              <w:rPr>
                <w:sz w:val="19"/>
              </w:rPr>
              <w:t>1,912</w:t>
            </w:r>
          </w:p>
        </w:tc>
        <w:tc>
          <w:tcPr>
            <w:tcW w:type="dxa" w:w="1928"/>
          </w:tcPr>
          <w:p>
            <w:r/>
            <w:r>
              <w:rPr>
                <w:sz w:val="19"/>
              </w:rPr>
              <w:t>8.42</w:t>
            </w:r>
          </w:p>
        </w:tc>
        <w:tc>
          <w:tcPr>
            <w:tcW w:type="dxa" w:w="1587"/>
          </w:tcPr>
          <w:p>
            <w:r/>
            <w:r>
              <w:rPr>
                <w:sz w:val="19"/>
              </w:rPr>
              <w:t>1.58</w:t>
            </w:r>
          </w:p>
        </w:tc>
      </w:tr>
      <w:tr>
        <w:tc>
          <w:tcPr>
            <w:tcW w:type="dxa" w:w="680"/>
          </w:tcPr>
          <w:p>
            <w:r/>
            <w:r>
              <w:rPr>
                <w:sz w:val="19"/>
              </w:rPr>
              <w:t>4</w:t>
            </w:r>
          </w:p>
        </w:tc>
        <w:tc>
          <w:tcPr>
            <w:tcW w:type="dxa" w:w="2608"/>
          </w:tcPr>
          <w:p>
            <w:r/>
            <w:r>
              <w:rPr>
                <w:sz w:val="19"/>
              </w:rPr>
              <w:t>34.71</w:t>
            </w:r>
          </w:p>
        </w:tc>
        <w:tc>
          <w:tcPr>
            <w:tcW w:type="dxa" w:w="1928"/>
          </w:tcPr>
          <w:p>
            <w:r/>
            <w:r>
              <w:rPr>
                <w:sz w:val="19"/>
              </w:rPr>
              <w:t>half-space</w:t>
            </w:r>
          </w:p>
        </w:tc>
        <w:tc>
          <w:tcPr>
            <w:tcW w:type="dxa" w:w="1587"/>
          </w:tcPr>
          <w:p>
            <w:r/>
            <w:r>
              <w:rPr>
                <w:sz w:val="19"/>
              </w:rPr>
              <w:t>10</w:t>
            </w:r>
          </w:p>
        </w:tc>
      </w:tr>
    </w:tbl>
    <w:p/>
    <w:p>
      <w:pPr>
        <w:jc w:val="both"/>
      </w:pPr>
      <w:r>
        <w:rPr>
          <w:b w:val="0"/>
          <w:i w:val="0"/>
        </w:rPr>
        <w:t>The reference interpretation has 4 layers where this one has 2. Its reported misfit (26.5 percent) is not reproduced on these readings (96.7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8" name="Picture 8"/>
            <wp:cNvGraphicFramePr>
              <a:graphicFrameLocks noChangeAspect="1"/>
            </wp:cNvGraphicFramePr>
            <a:graphic>
              <a:graphicData uri="http://schemas.openxmlformats.org/drawingml/2006/picture">
                <pic:pic>
                  <pic:nvPicPr>
                    <pic:cNvPr id="0" name="ves_layer_section_Rokel_B_2.png"/>
                    <pic:cNvPicPr/>
                  </pic:nvPicPr>
                  <pic:blipFill>
                    <a:blip r:embed="rId17"/>
                    <a:stretch>
                      <a:fillRect/>
                    </a:stretch>
                  </pic:blipFill>
                  <pic:spPr>
                    <a:xfrm>
                      <a:off x="0" y="0"/>
                      <a:ext cx="5400000" cy="4280861"/>
                    </a:xfrm>
                    <a:prstGeom prst="rect"/>
                  </pic:spPr>
                </pic:pic>
              </a:graphicData>
            </a:graphic>
          </wp:inline>
        </w:drawing>
      </w:r>
    </w:p>
    <w:p>
      <w:pPr>
        <w:pStyle w:val="Caption"/>
        <w:jc w:val="center"/>
      </w:pPr>
      <w:r>
        <w:rPr>
          <w:b/>
          <w:sz w:val="18"/>
        </w:rPr>
        <w:t>Figure 8. Interpreted one-dimensional layer section at point B (2): the resistivity and thickness of each fitted layer, drawn to the depth of investigation (40 m).</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26.8 percent (ERR), well above the target: it does not describe the curve closely, and the layer depths are indicative only. The Dar-Zarrouk longitudinal conductance of the section is 0.00694 siemens and the transverse resistance is 9,880 ohm m2. The cover overlying the water bearing zone has a longitudinal conductance of 0.00694 siemens, indicating a poor protective capacity against surface contamination.</w:t>
      </w:r>
    </w:p>
    <w:p>
      <w:r>
        <w:br w:type="page"/>
      </w:r>
    </w:p>
    <w:p>
      <w:pPr>
        <w:pStyle w:val="Caption"/>
      </w:pPr>
      <w:r>
        <w:rPr>
          <w:b/>
          <w:sz w:val="18"/>
        </w:rPr>
        <w:t>Table 7. List of VES points in order of preference for drilling. The resistivities are those of the fitted layers, not the apparent resistivities read in the field. A water zone marked + continues below the depth the sounding resolves, so its base and the drilling depth are minima.</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Layer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1,106</w:t>
              <w:br/>
              <w:t>1,638</w:t>
              <w:br/>
              <w:t>47.28</w:t>
            </w:r>
          </w:p>
        </w:tc>
        <w:tc>
          <w:tcPr>
            <w:tcW w:type="dxa" w:w="1008"/>
          </w:tcPr>
          <w:p>
            <w:r/>
            <w:r>
              <w:rPr>
                <w:sz w:val="17"/>
              </w:rPr>
              <w:t>8-40+</w:t>
            </w:r>
          </w:p>
        </w:tc>
        <w:tc>
          <w:tcPr>
            <w:tcW w:type="dxa" w:w="1008"/>
          </w:tcPr>
          <w:p>
            <w:r/>
            <w:r>
              <w:rPr>
                <w:sz w:val="17"/>
              </w:rPr>
              <w:t>at least 40 m</w:t>
            </w:r>
          </w:p>
        </w:tc>
        <w:tc>
          <w:tcPr>
            <w:tcW w:type="dxa" w:w="1008"/>
          </w:tcPr>
          <w:p>
            <w:r/>
            <w:r>
              <w:rPr>
                <w:sz w:val="17"/>
              </w:rPr>
              <w:t>1st</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8-40+</w:t>
            </w:r>
          </w:p>
        </w:tc>
        <w:tc>
          <w:tcPr>
            <w:tcW w:type="dxa" w:w="1008"/>
          </w:tcPr>
          <w:p>
            <w:r/>
            <w:r>
              <w:rPr>
                <w:sz w:val="17"/>
              </w:rPr>
              <w:t>at least 40 m</w:t>
            </w:r>
          </w:p>
        </w:tc>
        <w:tc>
          <w:tcPr>
            <w:tcW w:type="dxa" w:w="1008"/>
          </w:tcPr>
          <w:p>
            <w:r/>
            <w:r>
              <w:rPr>
                <w:sz w:val="17"/>
              </w:rPr>
              <w:t>2nd</w:t>
            </w:r>
          </w:p>
        </w:tc>
      </w:tr>
    </w:tbl>
    <w:p/>
    <w:p>
      <w:pPr>
        <w:pStyle w:val="Heading2"/>
      </w:pPr>
      <w:r>
        <w:t>Drill-target suitability</w:t>
      </w:r>
    </w:p>
    <w:p>
      <w:pPr>
        <w:jc w:val="both"/>
      </w:pPr>
      <w:r>
        <w:rPr>
          <w:b w:val="0"/>
          <w:i w:val="0"/>
        </w:rPr>
        <w:t>Each surveyed point is given a transparent suitability score from 0 to 100. The score combines the interpreted water-bearing thickness, how well the resistivity of the water zone sits within the productive fractured or weathered window, the overburden profile, and the presence of a fractured zone at the basement contact. The scores rank the points as drilling targets.</w:t>
      </w:r>
    </w:p>
    <w:p>
      <w:pPr>
        <w:pStyle w:val="Caption"/>
      </w:pPr>
      <w:r>
        <w:rPr>
          <w:b/>
          <w:sz w:val="18"/>
        </w:rPr>
        <w:t>Table 8. Drill-target suitability of the surveyed points. Suitability is the geological score; confidence discounts it for a model fit above the target and for a water-bearing zone whose base the sounding never reached; the points are ranked on the weighted figure.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794"/>
            <w:shd w:val="clear" w:fill="1F5C8B"/>
          </w:tcPr>
          <w:p>
            <w:r/>
            <w:r>
              <w:rPr>
                <w:b/>
                <w:color w:val="FFFFFF"/>
                <w:sz w:val="19"/>
              </w:rPr>
              <w:t>Rank</w:t>
            </w:r>
          </w:p>
        </w:tc>
        <w:tc>
          <w:tcPr>
            <w:tcW w:type="dxa" w:w="1701"/>
            <w:shd w:val="clear" w:fill="1F5C8B"/>
          </w:tcPr>
          <w:p>
            <w:r/>
            <w:r>
              <w:rPr>
                <w:b/>
                <w:color w:val="FFFFFF"/>
                <w:sz w:val="19"/>
              </w:rPr>
              <w:t>VES point</w:t>
            </w:r>
          </w:p>
        </w:tc>
        <w:tc>
          <w:tcPr>
            <w:tcW w:type="dxa" w:w="2041"/>
            <w:shd w:val="clear" w:fill="1F5C8B"/>
          </w:tcPr>
          <w:p>
            <w:r/>
            <w:r>
              <w:rPr>
                <w:b/>
                <w:color w:val="FFFFFF"/>
                <w:sz w:val="19"/>
              </w:rPr>
              <w:t>Suitability (0 to 100)</w:t>
            </w:r>
          </w:p>
        </w:tc>
        <w:tc>
          <w:tcPr>
            <w:tcW w:type="dxa" w:w="1361"/>
            <w:shd w:val="clear" w:fill="1F5C8B"/>
          </w:tcPr>
          <w:p>
            <w:r/>
            <w:r>
              <w:rPr>
                <w:b/>
                <w:color w:val="FFFFFF"/>
                <w:sz w:val="19"/>
              </w:rPr>
              <w:t>Confidence</w:t>
            </w:r>
          </w:p>
        </w:tc>
        <w:tc>
          <w:tcPr>
            <w:tcW w:type="dxa" w:w="1247"/>
            <w:shd w:val="clear" w:fill="1F5C8B"/>
          </w:tcPr>
          <w:p>
            <w:r/>
            <w:r>
              <w:rPr>
                <w:b/>
                <w:color w:val="FFFFFF"/>
                <w:sz w:val="19"/>
              </w:rPr>
              <w:t>Weighted</w:t>
            </w:r>
          </w:p>
        </w:tc>
        <w:tc>
          <w:tcPr>
            <w:tcW w:type="dxa" w:w="1928"/>
            <w:shd w:val="clear" w:fill="1F5C8B"/>
          </w:tcPr>
          <w:p>
            <w:r/>
            <w:r>
              <w:rPr>
                <w:b/>
                <w:color w:val="FFFFFF"/>
                <w:sz w:val="19"/>
              </w:rPr>
              <w:t>Grade</w:t>
            </w:r>
          </w:p>
        </w:tc>
      </w:tr>
      <w:tr>
        <w:tc>
          <w:tcPr>
            <w:tcW w:type="dxa" w:w="794"/>
          </w:tcPr>
          <w:p>
            <w:r/>
            <w:r>
              <w:rPr>
                <w:sz w:val="19"/>
              </w:rPr>
              <w:t>1</w:t>
            </w:r>
          </w:p>
        </w:tc>
        <w:tc>
          <w:tcPr>
            <w:tcW w:type="dxa" w:w="1701"/>
          </w:tcPr>
          <w:p>
            <w:r/>
            <w:r>
              <w:rPr>
                <w:sz w:val="19"/>
              </w:rPr>
              <w:t>A (1)</w:t>
            </w:r>
          </w:p>
        </w:tc>
        <w:tc>
          <w:tcPr>
            <w:tcW w:type="dxa" w:w="2041"/>
          </w:tcPr>
          <w:p>
            <w:r/>
            <w:r>
              <w:rPr>
                <w:sz w:val="19"/>
              </w:rPr>
              <w:t>67.7</w:t>
            </w:r>
          </w:p>
        </w:tc>
        <w:tc>
          <w:tcPr>
            <w:tcW w:type="dxa" w:w="1361"/>
          </w:tcPr>
          <w:p>
            <w:r/>
            <w:r>
              <w:rPr>
                <w:sz w:val="19"/>
              </w:rPr>
              <w:t>0.71</w:t>
            </w:r>
          </w:p>
        </w:tc>
        <w:tc>
          <w:tcPr>
            <w:tcW w:type="dxa" w:w="1247"/>
          </w:tcPr>
          <w:p>
            <w:r/>
            <w:r>
              <w:rPr>
                <w:sz w:val="19"/>
              </w:rPr>
              <w:t>47.9</w:t>
            </w:r>
          </w:p>
        </w:tc>
        <w:tc>
          <w:tcPr>
            <w:tcW w:type="dxa" w:w="1928"/>
          </w:tcPr>
          <w:p>
            <w:r/>
            <w:r>
              <w:rPr>
                <w:sz w:val="19"/>
              </w:rPr>
              <w:t>Good</w:t>
            </w:r>
          </w:p>
        </w:tc>
      </w:tr>
      <w:tr>
        <w:tc>
          <w:tcPr>
            <w:tcW w:type="dxa" w:w="794"/>
          </w:tcPr>
          <w:p>
            <w:r/>
            <w:r>
              <w:rPr>
                <w:sz w:val="19"/>
              </w:rPr>
              <w:t>2</w:t>
            </w:r>
          </w:p>
        </w:tc>
        <w:tc>
          <w:tcPr>
            <w:tcW w:type="dxa" w:w="1701"/>
          </w:tcPr>
          <w:p>
            <w:r/>
            <w:r>
              <w:rPr>
                <w:sz w:val="19"/>
              </w:rPr>
              <w:t>B (2)</w:t>
            </w:r>
          </w:p>
        </w:tc>
        <w:tc>
          <w:tcPr>
            <w:tcW w:type="dxa" w:w="2041"/>
          </w:tcPr>
          <w:p>
            <w:r/>
            <w:r>
              <w:rPr>
                <w:sz w:val="19"/>
              </w:rPr>
              <w:t>68.2</w:t>
            </w:r>
          </w:p>
        </w:tc>
        <w:tc>
          <w:tcPr>
            <w:tcW w:type="dxa" w:w="1361"/>
          </w:tcPr>
          <w:p>
            <w:r/>
            <w:r>
              <w:rPr>
                <w:sz w:val="19"/>
              </w:rPr>
              <w:t>0.42</w:t>
            </w:r>
          </w:p>
        </w:tc>
        <w:tc>
          <w:tcPr>
            <w:tcW w:type="dxa" w:w="1247"/>
          </w:tcPr>
          <w:p>
            <w:r/>
            <w:r>
              <w:rPr>
                <w:sz w:val="19"/>
              </w:rPr>
              <w:t>29.0</w:t>
            </w:r>
          </w:p>
        </w:tc>
        <w:tc>
          <w:tcPr>
            <w:tcW w:type="dxa" w:w="1928"/>
          </w:tcPr>
          <w:p>
            <w:r/>
            <w:r>
              <w:rPr>
                <w:sz w:val="19"/>
              </w:rPr>
              <w:t>Good</w:t>
            </w:r>
          </w:p>
        </w:tc>
      </w:tr>
    </w:tbl>
    <w:p/>
    <w:p>
      <w:pPr>
        <w:jc w:val="both"/>
      </w:pPr>
      <w:r>
        <w:rPr>
          <w:b w:val="0"/>
          <w:i w:val="0"/>
        </w:rPr>
        <w:t>Point A (1) ranks first (suitability 68 out of 100, good, confidence 0.71) and is the recommended drilling target. Driven by at least 32 m of interpreted water-bearing thickness, the base of the zone being below the depth the sounding resolves (thick); resistivities near the edge of the productive window. Confidence 0.71: a model fit of 13.3 percent (ERR) and a basement the sounding did not reach discount the score before ranking.</w:t>
      </w:r>
    </w:p>
    <w:p>
      <w:pPr>
        <w:jc w:val="center"/>
      </w:pPr>
      <w:r>
        <w:drawing>
          <wp:inline xmlns:a="http://schemas.openxmlformats.org/drawingml/2006/main" xmlns:pic="http://schemas.openxmlformats.org/drawingml/2006/picture">
            <wp:extent cx="5400000" cy="3821002"/>
            <wp:docPr id="9" name="Picture 9"/>
            <wp:cNvGraphicFramePr>
              <a:graphicFrameLocks noChangeAspect="1"/>
            </wp:cNvGraphicFramePr>
            <a:graphic>
              <a:graphicData uri="http://schemas.openxmlformats.org/drawingml/2006/picture">
                <pic:pic>
                  <pic:nvPicPr>
                    <pic:cNvPr id="0" name="suitability_map_Rokel.png"/>
                    <pic:cNvPicPr/>
                  </pic:nvPicPr>
                  <pic:blipFill>
                    <a:blip r:embed="rId18"/>
                    <a:stretch>
                      <a:fillRect/>
                    </a:stretch>
                  </pic:blipFill>
                  <pic:spPr>
                    <a:xfrm>
                      <a:off x="0" y="0"/>
                      <a:ext cx="5400000" cy="3821002"/>
                    </a:xfrm>
                    <a:prstGeom prst="rect"/>
                  </pic:spPr>
                </pic:pic>
              </a:graphicData>
            </a:graphic>
          </wp:inline>
        </w:drawing>
      </w:r>
    </w:p>
    <w:p>
      <w:pPr>
        <w:pStyle w:val="Caption"/>
        <w:jc w:val="center"/>
      </w:pPr>
      <w:r>
        <w:rPr>
          <w:b/>
          <w:sz w:val="18"/>
        </w:rPr>
        <w:t>Figure 9. Drill-target suitability of the surveyed points, coloured by the confidence-weighted score; greener is more suitable. Each point is labelled with its rank and weighted score, and with the grade of its suitability before the confidence discount, as in the table above. The star is the recommended target, A (1), with its grid coordinates.</w:t>
      </w:r>
    </w:p>
    <w:p>
      <w:pPr>
        <w:pStyle w:val="Heading2"/>
      </w:pPr>
      <w:r>
        <w:t>Subsurface maps from the survey</w:t>
      </w:r>
    </w:p>
    <w:p>
      <w:pPr>
        <w:jc w:val="both"/>
      </w:pPr>
      <w:r>
        <w:rPr>
          <w:b w:val="0"/>
          <w:i w:val="0"/>
        </w:rPr>
        <w:t>The maps in this section are drawn from the soundings themselves rather than from a national dataset, so they carry the survey's own resolution.</w:t>
      </w:r>
    </w:p>
    <w:p>
      <w:pPr>
        <w:jc w:val="center"/>
      </w:pPr>
      <w:r>
        <w:drawing>
          <wp:inline xmlns:a="http://schemas.openxmlformats.org/drawingml/2006/main" xmlns:pic="http://schemas.openxmlformats.org/drawingml/2006/picture">
            <wp:extent cx="5400000" cy="3224272"/>
            <wp:docPr id="10" name="Picture 10"/>
            <wp:cNvGraphicFramePr>
              <a:graphicFrameLocks noChangeAspect="1"/>
            </wp:cNvGraphicFramePr>
            <a:graphic>
              <a:graphicData uri="http://schemas.openxmlformats.org/drawingml/2006/picture">
                <pic:pic>
                  <pic:nvPicPr>
                    <pic:cNvPr id="0" name="protective_capacity_Rokel.png"/>
                    <pic:cNvPicPr/>
                  </pic:nvPicPr>
                  <pic:blipFill>
                    <a:blip r:embed="rId19"/>
                    <a:stretch>
                      <a:fillRect/>
                    </a:stretch>
                  </pic:blipFill>
                  <pic:spPr>
                    <a:xfrm>
                      <a:off x="0" y="0"/>
                      <a:ext cx="5400000" cy="3224272"/>
                    </a:xfrm>
                    <a:prstGeom prst="rect"/>
                  </pic:spPr>
                </pic:pic>
              </a:graphicData>
            </a:graphic>
          </wp:inline>
        </w:drawing>
      </w:r>
    </w:p>
    <w:p>
      <w:pPr>
        <w:pStyle w:val="Caption"/>
        <w:jc w:val="center"/>
      </w:pPr>
      <w:r>
        <w:rPr>
          <w:b/>
          <w:sz w:val="18"/>
        </w:rPr>
        <w:t>Figure 10. Protective capacity of the cover over the aquifer, from the longitudinal conductance of the overlying layers. It rates how well the ground above the aquifer resists downward contamination; it says nothing about yield. With fewer than three soundings no surface is drawn; each point is coloured by its class.</w:t>
      </w:r>
    </w:p>
    <w:p>
      <w:pPr>
        <w:jc w:val="center"/>
      </w:pPr>
      <w:r>
        <w:drawing>
          <wp:inline xmlns:a="http://schemas.openxmlformats.org/drawingml/2006/main" xmlns:pic="http://schemas.openxmlformats.org/drawingml/2006/picture">
            <wp:extent cx="5400000" cy="2726955"/>
            <wp:docPr id="11" name="Picture 11"/>
            <wp:cNvGraphicFramePr>
              <a:graphicFrameLocks noChangeAspect="1"/>
            </wp:cNvGraphicFramePr>
            <a:graphic>
              <a:graphicData uri="http://schemas.openxmlformats.org/drawingml/2006/picture">
                <pic:pic>
                  <pic:nvPicPr>
                    <pic:cNvPr id="0" name="pseudosection_Rokel.png"/>
                    <pic:cNvPicPr/>
                  </pic:nvPicPr>
                  <pic:blipFill>
                    <a:blip r:embed="rId20"/>
                    <a:stretch>
                      <a:fillRect/>
                    </a:stretch>
                  </pic:blipFill>
                  <pic:spPr>
                    <a:xfrm>
                      <a:off x="0" y="0"/>
                      <a:ext cx="5400000" cy="2726955"/>
                    </a:xfrm>
                    <a:prstGeom prst="rect"/>
                  </pic:spPr>
                </pic:pic>
              </a:graphicData>
            </a:graphic>
          </wp:inline>
        </w:drawing>
      </w:r>
    </w:p>
    <w:p>
      <w:pPr>
        <w:pStyle w:val="Caption"/>
        <w:jc w:val="center"/>
      </w:pPr>
      <w:r>
        <w:rPr>
          <w:b/>
          <w:sz w:val="18"/>
        </w:rPr>
        <w:t>Figure 11. Apparent resistivity along the traverse, as measured. Unlike every other section in this report it involves no inversion: each point is a reading at the station and electrode spacing it was taken with. AB/2 is that spacing, not a depth. Colour is interpolated only between stations within reach of each other.</w:t>
      </w:r>
    </w:p>
    <w:p>
      <w:r>
        <w:rPr>
          <w:b/>
          <w:i w:val="0"/>
        </w:rPr>
        <w:t>Not drawn from this survey, and why:</w:t>
      </w:r>
    </w:p>
    <w:p>
      <w:pPr>
        <w:pStyle w:val="ListBullet"/>
      </w:pPr>
      <w:r>
        <w:t>Ground profile: the levelled stations are 20,751 m apart, about 519 times the 40 m the soundings resolve; a ground line between them would be a straight slope across ground nobody levelled, so none is drawn.</w:t>
      </w:r>
    </w:p>
    <w:p>
      <w:pPr>
        <w:pStyle w:val="ListBullet"/>
      </w:pPr>
      <w:r>
        <w:t>Depth to bedrock map: a depth to bedrock map needs at least 3 soundings that carry both a position and the value; 0 do. 2 of 2 positioned soundings did not reach basement within the depth they resolve, so they have no depth to bedrock.</w:t>
      </w:r>
    </w:p>
    <w:p>
      <w:pPr>
        <w:pStyle w:val="ListBullet"/>
      </w:pPr>
      <w:r>
        <w:t>Aquifer thickness map: an aquifer thickness map needs at least 3 soundings that carry both a position and the value; 2 do.</w:t>
      </w:r>
    </w:p>
    <w:p>
      <w:pPr>
        <w:pStyle w:val="ListBullet"/>
      </w:pPr>
      <w:r>
        <w:t>Bedrock elevation map: a bedrock elevation map needs at least 3 soundings that carry both a position and the value; 0 do. 2 of 2 positioned soundings did not reach basement within the depth they resolve, so they have no bedrock elevation.</w:t>
      </w:r>
    </w:p>
    <w:p>
      <w:pPr>
        <w:pStyle w:val="ListBullet"/>
      </w:pPr>
      <w:r>
        <w:t>Geoelectric section: the soundings are 20,751 m apart, about 519 times the 40 m they resolve; a section between them would join two measurements with no measurement between, so none is drawn. A section needs stations within a few times the depth of investigation of each other.</w:t>
      </w:r>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from 8 m to at least 40 m. The base of the deepest zone lies below the depth the sounding resolves.</w:t>
      </w:r>
    </w:p>
    <w:p>
      <w:pPr>
        <w:pStyle w:val="ListBullet"/>
      </w:pPr>
      <w:r>
        <w:t>The potential water zones at point B (2) are found from 8 m to at least 40 m. The base of the deepest zone lies below the depth the sounding resolves.</w:t>
      </w:r>
    </w:p>
    <w:p>
      <w:pPr>
        <w:pStyle w:val="ListBullet"/>
      </w:pPr>
      <w:r>
        <w:t>Point A (1)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A (1) to confirm the existence of groundwater.</w:t>
      </w:r>
    </w:p>
    <w:p>
      <w:pPr>
        <w:pStyle w:val="ListBullet"/>
      </w:pPr>
      <w:r>
        <w:t>Point B (2) is an optional drilling point.</w:t>
      </w:r>
    </w:p>
    <w:p>
      <w:pPr>
        <w:pStyle w:val="ListBullet"/>
      </w:pPr>
      <w:r>
        <w:t>The drilling depth should be at least 40 m at point A (1); at least 40 m at point B (2), to cut across the probable water zones. Where the depth is a minimum, the water-bearing zone continues below what the survey resolves: drill on while the formation is water bearing, guided by the strikes and the penetration rate, and stop in fresh rock.</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6. Limitations and Uncertainty</w:t>
      </w:r>
    </w:p>
    <w:p>
      <w:pPr>
        <w:pStyle w:val="ListBullet"/>
      </w:pPr>
      <w:r>
        <w:t>The fitted models reproduce the measured apparent resistivities to within 26.8 percent (ERR); a larger misfit means a less certain model. The target is 10 percent, and A (1), B (2) do not reach it: the layer depths there are indicative, and the ranking discounts them for it.</w:t>
      </w:r>
    </w:p>
    <w:p>
      <w:pPr>
        <w:pStyle w:val="ListBullet"/>
      </w:pPr>
      <w:r>
        <w:t>Resistivity models are not unique: different layered models can fit the same sounding curve almost equally well (the equivalence and suppression problem), so the interpreted layer depths and thicknesses carry an uncertainty of the order of plus or minus 20 percent.</w:t>
      </w:r>
    </w:p>
    <w:p>
      <w:pPr>
        <w:pStyle w:val="ListBullet"/>
      </w:pPr>
      <w:r>
        <w:t>A low resistivity layer can represent either a saturated, water bearing zone or a conductive clay; the interpretation is made from the geological context and must be confirmed by drilling.</w:t>
      </w:r>
    </w:p>
    <w:p>
      <w:pPr>
        <w:pStyle w:val="ListBullet"/>
      </w:pPr>
      <w:r>
        <w:t>A Schlumberger sounding resolves the ground to roughly half its largest AB/2, not to the spacing itself: with AB/2 expanded to 80 m the depth of investigation here is about 40 m, and any structure below it is not resolved. A layer that continues to that depth has no base in these data.</w:t>
      </w:r>
    </w:p>
    <w:p>
      <w:pPr>
        <w:pStyle w:val="ListBullet"/>
      </w:pPr>
      <w:r>
        <w:t>The survey indicates groundwater potential only. The actual yield and water quality can be confirmed only by test drilling, test pumping and laboratory analysis.</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W), which fall in Koya Rural chiefdom, Western Area Rural district.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20.7 km apart, which is unusually far for one site; check the coordinates.</w:t>
      </w:r>
    </w:p>
    <w:p>
      <w:pPr>
        <w:pStyle w:val="ListBullet"/>
      </w:pPr>
      <w:r>
        <w:t>[WARNING] segment_overlap_discrepancy (A (1)): At an MN change the two readings at one AB/2 should agree within a few percent; these differ by more than 20 percent: AB/2 10 m: 1392 and 961 ohm-m (ratio 1.45); AB/2 40 m: 156.1 and 78.7 ohm-m (ratio 1.98).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ListBullet"/>
      </w:pPr>
      <w:r>
        <w:t>[WARNING] segment_overlap_discrepancy (B (2)): At an MN change the two readings at one AB/2 should agree within a few percent; these differ by more than 20 percent: AB/2 10 m: 1307 and 891.8 ohm-m (ratio 1.47); AB/2 40 m: 147.9 and 96.3 ohm-m (ratio 1.54); AB/2 70 m: 90.3 and 55.2 ohm-m (ratio 1.64).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Heading1"/>
      </w:pPr>
      <w:r>
        <w:t>References</w:t>
      </w:r>
    </w:p>
    <w:p>
      <w:pPr>
        <w:spacing w:after="80"/>
        <w:ind w:left="454" w:hanging="454"/>
      </w:pPr>
      <w:r>
        <w:t>Ministry of Water Resources and SALWACO (2017). Geology of Sierra Leone. Freetown.</w:t>
      </w:r>
    </w:p>
    <w:p>
      <w:pPr>
        <w:spacing w:after="80"/>
        <w:ind w:left="454" w:hanging="454"/>
      </w:pPr>
      <w:r>
        <w:t>United States Geological Survey (1997). Geologic Map of Africa, Open-File Report 97-470A. Public domain, 1:5,000,000.</w:t>
      </w:r>
    </w:p>
    <w:p>
      <w:pPr>
        <w:spacing w:after="80"/>
        <w:ind w:left="454" w:hanging="454"/>
      </w:pPr>
      <w:r>
        <w:t>British Geological Survey. 2019/2021. Africa Groundwater Atlas Country Hydrogeology Maps. Africa Groundwater Atlas (https://www2.bgs.ac.uk/africagroundwateratlas/index.cfm). Licensed CC BY-SA 4.0.</w:t>
      </w:r>
    </w:p>
    <w:p>
      <w:pPr>
        <w:spacing w:after="80"/>
        <w:ind w:left="454" w:hanging="454"/>
      </w:pPr>
      <w:r>
        <w:t>Ó Dochartaigh, B. (2021). User Guide Version 1.2: Africa Groundwater Atlas Country Hydrogeology Maps. British Geological Survey Open Report OR/21/063.</w:t>
      </w:r>
    </w:p>
    <w:p>
      <w:pPr>
        <w:spacing w:after="80"/>
        <w:ind w:left="454" w:hanging="454"/>
      </w:pPr>
      <w:r>
        <w:t>Runfola, D. et al. (2020). geoBoundaries: A global database of political administrative boundaries. PLoS ONE, 15(4). Licensed CC BY 4.0.</w:t>
      </w:r>
    </w:p>
    <w:p>
      <w:pPr>
        <w:spacing w:after="80"/>
        <w:ind w:left="454" w:hanging="454"/>
      </w:pPr>
      <w:r>
        <w:t>Niwas, S. and Singhal, D.C. (1981). Estimation of aquifer transmissivity from Dar-Zarrouk parameters in porous media. Journal of Hydrology, 50, 393-399.</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Geologist / Field Supervisor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