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hands over the completed borehole water supply at Dr. Timbo's Residence, Western Area Rural District. The borehole was drilled to 70 m and is recorded as successful. The recommended safe yield is 0.97 m3/h. The water requires treatment before drinking; see the water quality section.</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center"/>
      </w:pPr>
      <w:r>
        <w:drawing>
          <wp:inline xmlns:a="http://schemas.openxmlformats.org/drawingml/2006/main" xmlns:pic="http://schemas.openxmlformats.org/drawingml/2006/picture">
            <wp:extent cx="5400000" cy="5139651"/>
            <wp:docPr id="1" name="Picture 1"/>
            <wp:cNvGraphicFramePr>
              <a:graphicFrameLocks noChangeAspect="1"/>
            </wp:cNvGraphicFramePr>
            <a:graphic>
              <a:graphicData uri="http://schemas.openxmlformats.org/drawingml/2006/picture">
                <pic:pic>
                  <pic:nvPicPr>
                    <pic:cNvPr id="0" name="admin_map_western_area_rural_district.png"/>
                    <pic:cNvPicPr/>
                  </pic:nvPicPr>
                  <pic:blipFill>
                    <a:blip r:embed="rId10"/>
                    <a:stretch>
                      <a:fillRect/>
                    </a:stretch>
                  </pic:blipFill>
                  <pic:spPr>
                    <a:xfrm>
                      <a:off x="0" y="0"/>
                      <a:ext cx="5400000" cy="5139651"/>
                    </a:xfrm>
                    <a:prstGeom prst="rect"/>
                  </pic:spPr>
                </pic:pic>
              </a:graphicData>
            </a:graphic>
          </wp:inline>
        </w:drawing>
      </w:r>
    </w:p>
    <w:p>
      <w:pPr>
        <w:jc w:val="center"/>
      </w:pPr>
      <w:r>
        <w:rPr>
          <w:b/>
          <w:sz w:val="18"/>
        </w:rPr>
        <w:t>Figure 1. Location of the water point.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22.5 m of screen, gravel pack and sanitary seal to 6 m.</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Safe yield (safety factor 1.5)</w:t>
            </w:r>
          </w:p>
        </w:tc>
        <w:tc>
          <w:tcPr>
            <w:tcW w:type="dxa" w:w="4536"/>
          </w:tcPr>
          <w:p>
            <w:r/>
            <w:r>
              <w:rPr>
                <w:sz w:val="19"/>
              </w:rPr>
              <w:t>0.97 m3/h (0.28 to 1.2)</w:t>
            </w:r>
          </w:p>
        </w:tc>
      </w:tr>
      <w:tr>
        <w:tc>
          <w:tcPr>
            <w:tcW w:type="dxa" w:w="4536"/>
          </w:tcPr>
          <w:p>
            <w:r/>
            <w:r>
              <w:rPr>
                <w:sz w:val="19"/>
              </w:rPr>
              <w:t>Pump installation depth</w:t>
            </w:r>
          </w:p>
        </w:tc>
        <w:tc>
          <w:tcPr>
            <w:tcW w:type="dxa" w:w="4536"/>
          </w:tcPr>
          <w:p>
            <w:r/>
            <w:r>
              <w:rPr>
                <w:sz w:val="19"/>
              </w:rPr>
              <w:t>39 m</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90333"/>
            <wp:docPr id="2" name="Picture 2"/>
            <wp:cNvGraphicFramePr>
              <a:graphicFrameLocks noChangeAspect="1"/>
            </wp:cNvGraphicFramePr>
            <a:graphic>
              <a:graphicData uri="http://schemas.openxmlformats.org/drawingml/2006/picture">
                <pic:pic>
                  <pic:nvPicPr>
                    <pic:cNvPr id="0" name="borehole_design_Dr_Timbo_s_Residence.png"/>
                    <pic:cNvPicPr/>
                  </pic:nvPicPr>
                  <pic:blipFill>
                    <a:blip r:embed="rId11"/>
                    <a:stretch>
                      <a:fillRect/>
                    </a:stretch>
                  </pic:blipFill>
                  <pic:spPr>
                    <a:xfrm>
                      <a:off x="0" y="0"/>
                      <a:ext cx="4680000" cy="7090333"/>
                    </a:xfrm>
                    <a:prstGeom prst="rect"/>
                  </pic:spPr>
                </pic:pic>
              </a:graphicData>
            </a:graphic>
          </wp:inline>
        </w:drawing>
      </w:r>
    </w:p>
    <w:p>
      <w:pPr>
        <w:jc w:val="center"/>
      </w:pPr>
      <w:r>
        <w:rPr>
          <w:b/>
          <w:sz w:val="18"/>
        </w:rPr>
        <w:t>Figure 2. As-built borehole diagram.</w:t>
      </w:r>
    </w:p>
    <w:p>
      <w:pPr>
        <w:pStyle w:val="Heading1"/>
      </w:pPr>
      <w:r>
        <w:t>4. Water Quality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microbiological indicator detected above the limit (0); a health (faecal contamination) concern, not aesthetic</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0.97 m3/h and allow the recommended rest periods. If the water level reaches the pump intake, stop pumping and let the borehole recover.</w:t>
      </w:r>
    </w:p>
    <w:p>
      <w:pPr>
        <w:pStyle w:val="Heading1"/>
      </w:pPr>
      <w:r>
        <w:t>6. Community / WASH Committee</w:t>
      </w:r>
    </w:p>
    <w:p>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