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i w:val="0"/>
        </w:rPr>
        <w:t>This report is provisional and not a certification (outstanding: Field data, Site position). The findings below are those the supplied records support; the cover says what is missing.</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 for Manganese, so treatment or an alternative source is required before it is used for drinking. The water also fails the national standard limit for Total coliforms.</w:t>
      </w:r>
    </w:p>
    <w:p>
      <w:r>
        <w:rPr>
          <w:b/>
          <w:i w:val="0"/>
        </w:rPr>
        <w:t>Key findings:</w:t>
      </w:r>
    </w:p>
    <w:p>
      <w:pPr>
        <w:pStyle w:val="ListBullet"/>
      </w:pPr>
      <w:r>
        <w:t>Health based exceedance: Manganese.</w:t>
      </w:r>
    </w:p>
    <w:p>
      <w:pPr>
        <w:pStyle w:val="ListBullet"/>
      </w:pPr>
      <w:r>
        <w:t>National standard exceedance: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pPr>
        <w:pStyle w:val="Caption"/>
      </w:pPr>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national/adopted limit</w:t>
            </w:r>
          </w:p>
        </w:tc>
      </w:tr>
    </w:tbl>
    <w:p/>
    <w:p>
      <w:pPr>
        <w:jc w:val="both"/>
      </w:pPr>
      <w:r>
        <w:rPr>
          <w:b/>
          <w:i w:val="0"/>
        </w:rPr>
        <w:t>The water does not meet the health based guideline value for: Manganese.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The pH of 5.9 is below the 6.5 to 8.5 acceptability range, which adds to the attack on metal; soft, low-alkalinity basement groundwater is aggressive even at a pH inside that range.</w:t>
      </w:r>
    </w:p>
    <w:p>
      <w:pPr>
        <w:pStyle w:val="Caption"/>
      </w:pPr>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both"/>
      </w:pPr>
      <w:r>
        <w:rPr>
          <w:b w:val="0"/>
          <w:i w:val="0"/>
        </w:rPr>
        <w:t>The water is a mixed-cation-HCO3 type (Ca 40%, Mg 26%, Na+K 34%; HCO3 58%, Cl 33%, SO4 9%, in milliequivalent percent): a bicarbonate water in which sodium and potassium have replaced calcium, which points to longer contact with the rock or to ion exchange in a clayey weathered zone.</w:t>
      </w:r>
    </w:p>
    <w:p>
      <w:pPr>
        <w:jc w:val="center"/>
      </w:pPr>
      <w:r>
        <w:drawing>
          <wp:inline xmlns:a="http://schemas.openxmlformats.org/drawingml/2006/main" xmlns:pic="http://schemas.openxmlformats.org/drawingml/2006/picture">
            <wp:extent cx="4680000" cy="4259892"/>
            <wp:docPr id="3" name="Picture 3"/>
            <wp:cNvGraphicFramePr>
              <a:graphicFrameLocks noChangeAspect="1"/>
            </wp:cNvGraphicFramePr>
            <a:graphic>
              <a:graphicData uri="http://schemas.openxmlformats.org/drawingml/2006/picture">
                <pic:pic>
                  <pic:nvPicPr>
                    <pic:cNvPr id="0" name="piper_BH-1.png"/>
                    <pic:cNvPicPr/>
                  </pic:nvPicPr>
                  <pic:blipFill>
                    <a:blip r:embed="rId12"/>
                    <a:stretch>
                      <a:fillRect/>
                    </a:stretch>
                  </pic:blipFill>
                  <pic:spPr>
                    <a:xfrm>
                      <a:off x="0" y="0"/>
                      <a:ext cx="4680000" cy="4259892"/>
                    </a:xfrm>
                    <a:prstGeom prst="rect"/>
                  </pic:spPr>
                </pic:pic>
              </a:graphicData>
            </a:graphic>
          </wp:inline>
        </w:drawing>
      </w:r>
    </w:p>
    <w:p>
      <w:pPr>
        <w:pStyle w:val="Caption"/>
        <w:jc w:val="center"/>
      </w:pPr>
      <w:r>
        <w:rPr>
          <w:b/>
          <w:sz w:val="18"/>
        </w:rPr>
        <w:t>Figure 3. Piper diagram: the sample's major-ion composition, with the cations on the left triangle, the anions on the right and the combined point in the diamond.</w:t>
      </w:r>
    </w:p>
    <w:p>
      <w:pPr>
        <w:jc w:val="center"/>
      </w:pPr>
      <w:r>
        <w:drawing>
          <wp:inline xmlns:a="http://schemas.openxmlformats.org/drawingml/2006/main" xmlns:pic="http://schemas.openxmlformats.org/drawingml/2006/picture">
            <wp:extent cx="3960000" cy="2480743"/>
            <wp:docPr id="4" name="Picture 4"/>
            <wp:cNvGraphicFramePr>
              <a:graphicFrameLocks noChangeAspect="1"/>
            </wp:cNvGraphicFramePr>
            <a:graphic>
              <a:graphicData uri="http://schemas.openxmlformats.org/drawingml/2006/picture">
                <pic:pic>
                  <pic:nvPicPr>
                    <pic:cNvPr id="0" name="stiff_BH-1.png"/>
                    <pic:cNvPicPr/>
                  </pic:nvPicPr>
                  <pic:blipFill>
                    <a:blip r:embed="rId13"/>
                    <a:stretch>
                      <a:fillRect/>
                    </a:stretch>
                  </pic:blipFill>
                  <pic:spPr>
                    <a:xfrm>
                      <a:off x="0" y="0"/>
                      <a:ext cx="3960000" cy="2480743"/>
                    </a:xfrm>
                    <a:prstGeom prst="rect"/>
                  </pic:spPr>
                </pic:pic>
              </a:graphicData>
            </a:graphic>
          </wp:inline>
        </w:drawing>
      </w:r>
    </w:p>
    <w:p>
      <w:pPr>
        <w:pStyle w:val="Caption"/>
        <w:jc w:val="center"/>
      </w:pPr>
      <w:r>
        <w:rPr>
          <w:b/>
          <w:sz w:val="18"/>
        </w:rPr>
        <w:t>Figure 4. Stiff diagram: the same composition as a shape, cations to the left and anions to the right of the axis.</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