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PROJECT HANDOVER REPORT</w:t>
      </w:r>
    </w:p>
    <w:p>
      <w:pPr>
        <w:jc w:val="center"/>
      </w:pPr>
      <w:r>
        <w:rPr>
          <w:sz w:val="26"/>
        </w:rPr>
        <w:t>Borehole Water Supply</w:t>
      </w:r>
    </w:p>
    <w:p>
      <w:pPr>
        <w:jc w:val="center"/>
      </w:pPr>
      <w:r>
        <w:rPr>
          <w:sz w:val="26"/>
        </w:rPr>
        <w:t>at Dr. Timbo's Residence, Western Area Rural District</w:t>
      </w:r>
    </w:p>
    <w:p/>
    <w:p/>
    <w:p/>
    <w:p>
      <w:pPr>
        <w:jc w:val="center"/>
      </w:pPr>
      <w:r>
        <w:rPr>
          <w:b/>
        </w:rPr>
        <w:t xml:space="preserve">Client: </w:t>
      </w:r>
      <w:r>
        <w:t>Dr. Timbo</w:t>
      </w:r>
    </w:p>
    <w:p>
      <w:pPr>
        <w:jc w:val="center"/>
      </w:pPr>
      <w:r>
        <w:rPr>
          <w:b/>
        </w:rPr>
        <w:t xml:space="preserve">Project: </w:t>
      </w:r>
      <w:r/>
    </w:p>
    <w:p>
      <w:pPr>
        <w:jc w:val="center"/>
      </w:pPr>
      <w:r>
        <w:rPr>
          <w:b/>
        </w:rPr>
        <w:t xml:space="preserve">Contractor: </w:t>
      </w:r>
      <w:r>
        <w:t>WiNGiN Heavy Duty Machines Co. Ltd</w:t>
      </w:r>
    </w:p>
    <w:p>
      <w:pPr>
        <w:jc w:val="center"/>
      </w:pPr>
      <w:r>
        <w:rPr>
          <w:b/>
        </w:rPr>
        <w:t xml:space="preserve">Date: </w:t>
      </w:r>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Site position: No GPS position is recorded on any sheet in this project. A borehole that cannot be found again on the ground cannot be certified, revisited or maintained.</w:t>
      </w:r>
    </w:p>
    <w:p>
      <w:r>
        <w:br w:type="page"/>
      </w:r>
    </w:p>
    <w:p>
      <w:pPr>
        <w:pStyle w:val="Heading1"/>
      </w:pPr>
      <w:r>
        <w:t>Table of Contents</w:t>
      </w:r>
    </w:p>
    <w:p>
      <w:r>
        <w:fldChar w:fldCharType="begin"/>
        <w:instrText xml:space="preserve">TOC \o "1-3" \h \z \u</w:instrText>
        <w:fldChar w:fldCharType="separate"/>
        <w:t>Right-click and choose Update Field to fill the table of contents.</w:t>
        <w:fldChar w:fldCharType="end"/>
      </w:r>
    </w:p>
    <w:p>
      <w:r>
        <w:br w:type="page"/>
      </w:r>
    </w:p>
    <w:p>
      <w:pPr>
        <w:pStyle w:val="Heading1"/>
      </w:pPr>
      <w:r>
        <w:t>Executive Summary</w:t>
      </w:r>
    </w:p>
    <w:p>
      <w:pPr>
        <w:jc w:val="both"/>
      </w:pPr>
      <w:r>
        <w:rPr>
          <w:b w:val="0"/>
          <w:i w:val="0"/>
        </w:rPr>
        <w:t>This report hands over the completed borehole water supply at Dr. Timbo's Residence, Western Area Rural District. The borehole was drilled to 70 m and is recorded as successful. The recommended safe yield is 0.97 m3/h. The water requires treatment before drinking; see the water quality section.</w:t>
      </w:r>
    </w:p>
    <w:p>
      <w:r>
        <w:rPr>
          <w:b/>
          <w:i w:val="0"/>
        </w:rPr>
        <w:t>Key findings:</w:t>
      </w:r>
    </w:p>
    <w:p>
      <w:pPr>
        <w:pStyle w:val="ListBullet"/>
      </w:pPr>
      <w:r>
        <w:t>Borehole depth: 70 m, Successful.</w:t>
      </w:r>
    </w:p>
    <w:p>
      <w:pPr>
        <w:pStyle w:val="ListBullet"/>
      </w:pPr>
      <w:r>
        <w:t>Safe yield: 0.97 m3/h.</w:t>
      </w:r>
    </w:p>
    <w:p>
      <w:pPr>
        <w:pStyle w:val="ListBullet"/>
      </w:pPr>
      <w:r>
        <w:t>Water safety: treatment required before drinking.</w:t>
      </w:r>
    </w:p>
    <w:p>
      <w:pPr>
        <w:pStyle w:val="ListBullet"/>
      </w:pPr>
      <w:r>
        <w:t>Keep this report with the WASH committee records and maintain the sanitary protection zone around the wellhead.</w:t>
      </w:r>
    </w:p>
    <w:p>
      <w:r>
        <w:br w:type="page"/>
      </w:r>
    </w:p>
    <w:p>
      <w:pPr>
        <w:pStyle w:val="Heading1"/>
      </w:pPr>
      <w:r>
        <w:t>1. Project Summary</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Dr. Timbo's Residence</w:t>
            </w:r>
          </w:p>
        </w:tc>
        <w:tc>
          <w:tcPr>
            <w:tcW w:type="dxa" w:w="2268"/>
          </w:tcPr>
          <w:p>
            <w:r/>
            <w:r>
              <w:rPr>
                <w:b/>
                <w:sz w:val="19"/>
              </w:rPr>
              <w:t>Chiefdom</w:t>
            </w:r>
          </w:p>
        </w:tc>
        <w:tc>
          <w:tcPr>
            <w:tcW w:type="dxa" w:w="2268"/>
          </w:tcPr>
          <w:p>
            <w:r/>
            <w:r>
              <w:rPr>
                <w:sz w:val="19"/>
              </w:rPr>
            </w:r>
          </w:p>
        </w:tc>
      </w:tr>
      <w:tr>
        <w:tc>
          <w:tcPr>
            <w:tcW w:type="dxa" w:w="2268"/>
          </w:tcPr>
          <w:p>
            <w:r/>
            <w:r>
              <w:rPr>
                <w:b/>
                <w:sz w:val="19"/>
              </w:rPr>
              <w:t>District</w:t>
            </w:r>
          </w:p>
        </w:tc>
        <w:tc>
          <w:tcPr>
            <w:tcW w:type="dxa" w:w="2268"/>
          </w:tcPr>
          <w:p>
            <w:r/>
            <w:r>
              <w:rPr>
                <w:sz w:val="19"/>
              </w:rPr>
              <w:t>Western Area Rural</w:t>
            </w:r>
          </w:p>
        </w:tc>
        <w:tc>
          <w:tcPr>
            <w:tcW w:type="dxa" w:w="2268"/>
          </w:tcPr>
          <w:p>
            <w:r/>
            <w:r>
              <w:rPr>
                <w:b/>
                <w:sz w:val="19"/>
              </w:rPr>
              <w:t>Client</w:t>
            </w:r>
          </w:p>
        </w:tc>
        <w:tc>
          <w:tcPr>
            <w:tcW w:type="dxa" w:w="2268"/>
          </w:tcPr>
          <w:p>
            <w:r/>
            <w:r>
              <w:rPr>
                <w:sz w:val="19"/>
              </w:rPr>
              <w:t>Dr. Timbo</w:t>
            </w:r>
          </w:p>
        </w:tc>
      </w:tr>
      <w:tr>
        <w:tc>
          <w:tcPr>
            <w:tcW w:type="dxa" w:w="2268"/>
          </w:tcPr>
          <w:p>
            <w:r/>
            <w:r>
              <w:rPr>
                <w:b/>
                <w:sz w:val="19"/>
              </w:rPr>
              <w:t>Contractor</w:t>
            </w:r>
          </w:p>
        </w:tc>
        <w:tc>
          <w:tcPr>
            <w:tcW w:type="dxa" w:w="2268"/>
          </w:tcPr>
          <w:p>
            <w:r/>
            <w:r>
              <w:rPr>
                <w:sz w:val="19"/>
              </w:rPr>
              <w:t>WiNGiN Heavy Duty Machines Co. Ltd</w:t>
            </w:r>
          </w:p>
        </w:tc>
        <w:tc>
          <w:tcPr>
            <w:tcW w:type="dxa" w:w="2268"/>
          </w:tcPr>
          <w:p>
            <w:r/>
            <w:r>
              <w:rPr>
                <w:b/>
                <w:sz w:val="19"/>
              </w:rPr>
              <w:t>Project reference</w:t>
            </w:r>
          </w:p>
        </w:tc>
        <w:tc>
          <w:tcPr>
            <w:tcW w:type="dxa" w:w="2268"/>
          </w:tcPr>
          <w:p>
            <w:r/>
            <w:r>
              <w:rPr>
                <w:sz w:val="19"/>
              </w:rPr>
            </w:r>
          </w:p>
        </w:tc>
      </w:tr>
      <w:tr>
        <w:tc>
          <w:tcPr>
            <w:tcW w:type="dxa" w:w="2268"/>
          </w:tcPr>
          <w:p>
            <w:r/>
            <w:r>
              <w:rPr>
                <w:b/>
                <w:sz w:val="19"/>
              </w:rPr>
              <w:t>GPS East</w:t>
            </w:r>
          </w:p>
        </w:tc>
        <w:tc>
          <w:tcPr>
            <w:tcW w:type="dxa" w:w="2268"/>
          </w:tcPr>
          <w:p>
            <w:r/>
            <w:r>
              <w:rPr>
                <w:sz w:val="19"/>
              </w:rPr>
            </w:r>
          </w:p>
        </w:tc>
        <w:tc>
          <w:tcPr>
            <w:tcW w:type="dxa" w:w="2268"/>
          </w:tcPr>
          <w:p>
            <w:r/>
            <w:r>
              <w:rPr>
                <w:b/>
                <w:sz w:val="19"/>
              </w:rPr>
              <w:t>GPS North</w:t>
            </w:r>
          </w:p>
        </w:tc>
        <w:tc>
          <w:tcPr>
            <w:tcW w:type="dxa" w:w="2268"/>
          </w:tcPr>
          <w:p>
            <w:r/>
            <w:r>
              <w:rPr>
                <w:sz w:val="19"/>
              </w:rPr>
            </w:r>
          </w:p>
        </w:tc>
      </w:tr>
      <w:tr>
        <w:tc>
          <w:tcPr>
            <w:tcW w:type="dxa" w:w="2268"/>
          </w:tcPr>
          <w:p>
            <w:r/>
            <w:r>
              <w:rPr>
                <w:b/>
                <w:sz w:val="19"/>
              </w:rPr>
              <w:t>Latitude / Longitude</w:t>
            </w:r>
          </w:p>
        </w:tc>
        <w:tc>
          <w:tcPr>
            <w:tcW w:type="dxa" w:w="2268"/>
          </w:tcPr>
          <w:p>
            <w:r/>
            <w:r>
              <w:rPr>
                <w:sz w:val="19"/>
              </w:rPr>
            </w:r>
          </w:p>
        </w:tc>
        <w:tc>
          <w:tcPr>
            <w:tcW w:type="dxa" w:w="2268"/>
          </w:tcPr>
          <w:p>
            <w:r/>
            <w:r>
              <w:rPr>
                <w:b/>
                <w:sz w:val="19"/>
              </w:rPr>
              <w:t>Elevation</w:t>
            </w:r>
          </w:p>
        </w:tc>
        <w:tc>
          <w:tcPr>
            <w:tcW w:type="dxa" w:w="2268"/>
          </w:tcPr>
          <w:p>
            <w:r/>
            <w:r>
              <w:rPr>
                <w:sz w:val="19"/>
              </w:rPr>
            </w:r>
          </w:p>
        </w:tc>
      </w:tr>
    </w:tbl>
    <w:p/>
    <w:p>
      <w:pPr>
        <w:jc w:val="center"/>
      </w:pPr>
      <w:r>
        <w:drawing>
          <wp:inline xmlns:a="http://schemas.openxmlformats.org/drawingml/2006/main" xmlns:pic="http://schemas.openxmlformats.org/drawingml/2006/picture">
            <wp:extent cx="5400000" cy="4957525"/>
            <wp:docPr id="1" name="Picture 1"/>
            <wp:cNvGraphicFramePr>
              <a:graphicFrameLocks noChangeAspect="1"/>
            </wp:cNvGraphicFramePr>
            <a:graphic>
              <a:graphicData uri="http://schemas.openxmlformats.org/drawingml/2006/picture">
                <pic:pic>
                  <pic:nvPicPr>
                    <pic:cNvPr id="0" name="admin_map_8p3260_13p0991.png"/>
                    <pic:cNvPicPr/>
                  </pic:nvPicPr>
                  <pic:blipFill>
                    <a:blip r:embed="rId10"/>
                    <a:stretch>
                      <a:fillRect/>
                    </a:stretch>
                  </pic:blipFill>
                  <pic:spPr>
                    <a:xfrm>
                      <a:off x="0" y="0"/>
                      <a:ext cx="5400000" cy="4957525"/>
                    </a:xfrm>
                    <a:prstGeom prst="rect"/>
                  </pic:spPr>
                </pic:pic>
              </a:graphicData>
            </a:graphic>
          </wp:inline>
        </w:drawing>
      </w:r>
    </w:p>
    <w:p>
      <w:pPr>
        <w:jc w:val="center"/>
      </w:pPr>
      <w:r>
        <w:rPr>
          <w:b/>
          <w:sz w:val="18"/>
        </w:rPr>
        <w:t>Figure 1. Location of the water point. Boundaries from geoBoundaries (CC BY 4.0).</w:t>
      </w:r>
    </w:p>
    <w:p>
      <w:pPr>
        <w:pStyle w:val="Heading1"/>
      </w:pPr>
      <w:r>
        <w:t>2. Works Completed</w:t>
      </w:r>
    </w:p>
    <w:p>
      <w:pPr>
        <w:pStyle w:val="ListBullet"/>
      </w:pPr>
      <w:r>
        <w:t>Drilling of the borehole to 70 m by Air rotary (DTH hammer).</w:t>
      </w:r>
    </w:p>
    <w:p>
      <w:pPr>
        <w:pStyle w:val="ListBullet"/>
      </w:pPr>
      <w:r>
        <w:t>Construction with 5 inch uPVC casing and screens, gravel pack and sanitary seal.</w:t>
      </w:r>
    </w:p>
    <w:p>
      <w:pPr>
        <w:pStyle w:val="ListBullet"/>
      </w:pPr>
      <w:r>
        <w:t>Development of the borehole by air lifting until clear.</w:t>
      </w:r>
    </w:p>
    <w:p>
      <w:pPr>
        <w:pStyle w:val="ListBullet"/>
      </w:pPr>
      <w:r>
        <w:t>Pumping test and yield assessment.</w:t>
      </w:r>
    </w:p>
    <w:p>
      <w:pPr>
        <w:pStyle w:val="ListBullet"/>
      </w:pPr>
      <w:r>
        <w:t>Water quality sampling and laboratory analysis.</w:t>
      </w:r>
    </w:p>
    <w:p>
      <w:pPr>
        <w:pStyle w:val="ListBullet"/>
      </w:pPr>
      <w:r>
        <w:t>Wellhead completion with apron and drainage.</w:t>
      </w:r>
    </w:p>
    <w:p>
      <w:pPr>
        <w:pStyle w:val="Heading1"/>
      </w:pPr>
      <w:r>
        <w:t>3. Borehole Data Sheet</w:t>
      </w:r>
    </w:p>
    <w:p>
      <w:r>
        <w:rPr>
          <w:b/>
          <w:sz w:val="18"/>
        </w:rPr>
        <w:t>Table 1. Key borehole data.</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Value</w:t>
            </w:r>
          </w:p>
        </w:tc>
      </w:tr>
      <w:tr>
        <w:tc>
          <w:tcPr>
            <w:tcW w:type="dxa" w:w="4536"/>
          </w:tcPr>
          <w:p>
            <w:r/>
            <w:r>
              <w:rPr>
                <w:sz w:val="19"/>
              </w:rPr>
              <w:t>Borehole reference</w:t>
            </w:r>
          </w:p>
        </w:tc>
        <w:tc>
          <w:tcPr>
            <w:tcW w:type="dxa" w:w="4536"/>
          </w:tcPr>
          <w:p>
            <w:r/>
            <w:r>
              <w:rPr>
                <w:sz w:val="19"/>
              </w:rPr>
              <w:t>BH-1</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Drilling method</w:t>
            </w:r>
          </w:p>
        </w:tc>
        <w:tc>
          <w:tcPr>
            <w:tcW w:type="dxa" w:w="4536"/>
          </w:tcPr>
          <w:p>
            <w:r/>
            <w:r>
              <w:rPr>
                <w:sz w:val="19"/>
              </w:rPr>
              <w:t>Air rotary (DTH hammer)</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Completion date</w:t>
            </w:r>
          </w:p>
        </w:tc>
        <w:tc>
          <w:tcPr>
            <w:tcW w:type="dxa" w:w="4536"/>
          </w:tcPr>
          <w:p>
            <w:r/>
            <w:r>
              <w:rPr>
                <w:sz w:val="19"/>
              </w:rPr>
              <w:t>13th May, 2018</w:t>
            </w:r>
          </w:p>
        </w:tc>
      </w:tr>
      <w:tr>
        <w:tc>
          <w:tcPr>
            <w:tcW w:type="dxa" w:w="4536"/>
          </w:tcPr>
          <w:p>
            <w:r/>
            <w:r>
              <w:rPr>
                <w:sz w:val="19"/>
              </w:rPr>
              <w:t>Status</w:t>
            </w:r>
          </w:p>
        </w:tc>
        <w:tc>
          <w:tcPr>
            <w:tcW w:type="dxa" w:w="4536"/>
          </w:tcPr>
          <w:p>
            <w:r/>
            <w:r>
              <w:rPr>
                <w:sz w:val="19"/>
              </w:rPr>
              <w:t>Successful</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Drilled diameter</w:t>
            </w:r>
          </w:p>
        </w:tc>
        <w:tc>
          <w:tcPr>
            <w:tcW w:type="dxa" w:w="4536"/>
          </w:tcPr>
          <w:p>
            <w:r/>
            <w:r>
              <w:rPr>
                <w:sz w:val="19"/>
              </w:rPr>
              <w:t>6.5"</w:t>
            </w:r>
          </w:p>
        </w:tc>
      </w:tr>
      <w:tr>
        <w:tc>
          <w:tcPr>
            <w:tcW w:type="dxa" w:w="4536"/>
          </w:tcPr>
          <w:p>
            <w:r/>
            <w:r>
              <w:rPr>
                <w:sz w:val="19"/>
              </w:rPr>
              <w:t>Casing</w:t>
            </w:r>
          </w:p>
        </w:tc>
        <w:tc>
          <w:tcPr>
            <w:tcW w:type="dxa" w:w="4536"/>
          </w:tcPr>
          <w:p>
            <w:r/>
            <w:r>
              <w:rPr>
                <w:sz w:val="19"/>
              </w:rPr>
              <w:t>5" uPVC, stick-up 0.5 m</w:t>
            </w:r>
          </w:p>
        </w:tc>
      </w:tr>
      <w:tr>
        <w:tc>
          <w:tcPr>
            <w:tcW w:type="dxa" w:w="4536"/>
          </w:tcPr>
          <w:p>
            <w:r/>
            <w:r>
              <w:rPr>
                <w:sz w:val="19"/>
              </w:rPr>
              <w:t>Screens</w:t>
            </w:r>
          </w:p>
        </w:tc>
        <w:tc>
          <w:tcPr>
            <w:tcW w:type="dxa" w:w="4536"/>
          </w:tcPr>
          <w:p>
            <w:r/>
            <w:r>
              <w:rPr>
                <w:sz w:val="19"/>
              </w:rPr>
              <w:t>14-17 m; 25-35 m; 45-50 m; 55-60 m (slot 0.75 mm)</w:t>
            </w:r>
          </w:p>
        </w:tc>
      </w:tr>
      <w:tr>
        <w:tc>
          <w:tcPr>
            <w:tcW w:type="dxa" w:w="4536"/>
          </w:tcPr>
          <w:p>
            <w:r/>
            <w:r>
              <w:rPr>
                <w:sz w:val="19"/>
              </w:rPr>
              <w:t>Gravel pack</w:t>
            </w:r>
          </w:p>
        </w:tc>
        <w:tc>
          <w:tcPr>
            <w:tcW w:type="dxa" w:w="4536"/>
          </w:tcPr>
          <w:p>
            <w:r/>
            <w:r>
              <w:rPr>
                <w:sz w:val="19"/>
              </w:rPr>
              <w:t>12-70 m</w:t>
            </w:r>
          </w:p>
        </w:tc>
      </w:tr>
      <w:tr>
        <w:tc>
          <w:tcPr>
            <w:tcW w:type="dxa" w:w="4536"/>
          </w:tcPr>
          <w:p>
            <w:r/>
            <w:r>
              <w:rPr>
                <w:sz w:val="19"/>
              </w:rPr>
              <w:t>Backfill</w:t>
            </w:r>
          </w:p>
        </w:tc>
        <w:tc>
          <w:tcPr>
            <w:tcW w:type="dxa" w:w="4536"/>
          </w:tcPr>
          <w:p>
            <w:r/>
            <w:r>
              <w:rPr>
                <w:sz w:val="19"/>
              </w:rPr>
              <w:t>6-12 m</w:t>
            </w:r>
          </w:p>
        </w:tc>
      </w:tr>
      <w:tr>
        <w:tc>
          <w:tcPr>
            <w:tcW w:type="dxa" w:w="4536"/>
          </w:tcPr>
          <w:p>
            <w:r/>
            <w:r>
              <w:rPr>
                <w:sz w:val="19"/>
              </w:rPr>
              <w:t>Sanitary seal</w:t>
            </w:r>
          </w:p>
        </w:tc>
        <w:tc>
          <w:tcPr>
            <w:tcW w:type="dxa" w:w="4536"/>
          </w:tcPr>
          <w:p>
            <w:r/>
            <w:r>
              <w:rPr>
                <w:sz w:val="19"/>
              </w:rPr>
              <w:t>0-6 m cement grout</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Recommended pump intake</w:t>
            </w:r>
          </w:p>
        </w:tc>
        <w:tc>
          <w:tcPr>
            <w:tcW w:type="dxa" w:w="4536"/>
          </w:tcPr>
          <w:p>
            <w:r/>
            <w:r>
              <w:rPr>
                <w:sz w:val="19"/>
              </w:rPr>
              <w:t>39 m</w:t>
            </w:r>
          </w:p>
        </w:tc>
      </w:tr>
      <w:tr>
        <w:tc>
          <w:tcPr>
            <w:tcW w:type="dxa" w:w="4536"/>
          </w:tcPr>
          <w:p>
            <w:r/>
            <w:r>
              <w:rPr>
                <w:sz w:val="19"/>
              </w:rPr>
              <w:t>Transmissivity</w:t>
            </w:r>
          </w:p>
        </w:tc>
        <w:tc>
          <w:tcPr>
            <w:tcW w:type="dxa" w:w="4536"/>
          </w:tcPr>
          <w:p>
            <w:r/>
            <w:r>
              <w:rPr>
                <w:sz w:val="19"/>
              </w:rPr>
              <w:t>1.4 m2/day</w:t>
            </w:r>
          </w:p>
        </w:tc>
      </w:tr>
      <w:tr>
        <w:tc>
          <w:tcPr>
            <w:tcW w:type="dxa" w:w="4536"/>
          </w:tcPr>
          <w:p>
            <w:r/>
            <w:r>
              <w:rPr>
                <w:sz w:val="19"/>
              </w:rPr>
              <w:t>Safe yield (safety factor 1.5)</w:t>
            </w:r>
          </w:p>
        </w:tc>
        <w:tc>
          <w:tcPr>
            <w:tcW w:type="dxa" w:w="4536"/>
          </w:tcPr>
          <w:p>
            <w:r/>
            <w:r>
              <w:rPr>
                <w:sz w:val="19"/>
              </w:rPr>
              <w:t>0.97 m3/h (0.28 to 1.2)</w:t>
            </w:r>
          </w:p>
        </w:tc>
      </w:tr>
      <w:tr>
        <w:tc>
          <w:tcPr>
            <w:tcW w:type="dxa" w:w="4536"/>
          </w:tcPr>
          <w:p>
            <w:r/>
            <w:r>
              <w:rPr>
                <w:sz w:val="19"/>
              </w:rPr>
              <w:t>Pump installation depth</w:t>
            </w:r>
          </w:p>
        </w:tc>
        <w:tc>
          <w:tcPr>
            <w:tcW w:type="dxa" w:w="4536"/>
          </w:tcPr>
          <w:p>
            <w:r/>
            <w:r>
              <w:rPr>
                <w:sz w:val="19"/>
              </w:rPr>
              <w:t>39 m</w:t>
            </w:r>
          </w:p>
        </w:tc>
      </w:tr>
      <w:tr>
        <w:tc>
          <w:tcPr>
            <w:tcW w:type="dxa" w:w="4536"/>
          </w:tcPr>
          <w:p>
            <w:r/>
            <w:r>
              <w:rPr>
                <w:sz w:val="19"/>
              </w:rPr>
              <w:t>Pump type</w:t>
            </w:r>
          </w:p>
        </w:tc>
        <w:tc>
          <w:tcPr>
            <w:tcW w:type="dxa" w:w="4536"/>
          </w:tcPr>
          <w:p>
            <w:r/>
            <w:r>
              <w:rPr>
                <w:sz w:val="19"/>
              </w:rPr>
              <w:t>Submersible pump</w:t>
            </w:r>
          </w:p>
        </w:tc>
      </w:tr>
    </w:tbl>
    <w:p/>
    <w:p>
      <w:pPr>
        <w:jc w:val="center"/>
      </w:pPr>
      <w:r>
        <w:drawing>
          <wp:inline xmlns:a="http://schemas.openxmlformats.org/drawingml/2006/main" xmlns:pic="http://schemas.openxmlformats.org/drawingml/2006/picture">
            <wp:extent cx="4680000" cy="7090333"/>
            <wp:docPr id="2" name="Picture 2"/>
            <wp:cNvGraphicFramePr>
              <a:graphicFrameLocks noChangeAspect="1"/>
            </wp:cNvGraphicFramePr>
            <a:graphic>
              <a:graphicData uri="http://schemas.openxmlformats.org/drawingml/2006/picture">
                <pic:pic>
                  <pic:nvPicPr>
                    <pic:cNvPr id="0" name="borehole_design_Dr_Timbo_s_Residence.png"/>
                    <pic:cNvPicPr/>
                  </pic:nvPicPr>
                  <pic:blipFill>
                    <a:blip r:embed="rId11"/>
                    <a:stretch>
                      <a:fillRect/>
                    </a:stretch>
                  </pic:blipFill>
                  <pic:spPr>
                    <a:xfrm>
                      <a:off x="0" y="0"/>
                      <a:ext cx="4680000" cy="7090333"/>
                    </a:xfrm>
                    <a:prstGeom prst="rect"/>
                  </pic:spPr>
                </pic:pic>
              </a:graphicData>
            </a:graphic>
          </wp:inline>
        </w:drawing>
      </w:r>
    </w:p>
    <w:p>
      <w:pPr>
        <w:jc w:val="center"/>
      </w:pPr>
      <w:r>
        <w:rPr>
          <w:b/>
          <w:sz w:val="18"/>
        </w:rPr>
        <w:t>Figure 2. As-built borehole diagram.</w:t>
      </w:r>
    </w:p>
    <w:p>
      <w:pPr>
        <w:pStyle w:val="Heading1"/>
      </w:pPr>
      <w:r>
        <w:t>4. Water Quality</w:t>
      </w:r>
    </w:p>
    <w:p>
      <w:pPr>
        <w:jc w:val="both"/>
      </w:pPr>
      <w:r>
        <w:rPr>
          <w:b w:val="0"/>
          <w:i w:val="0"/>
        </w:rPr>
        <w:t>The water does not meet the health based guideline value(s) for: Manganese, Total coliforms. Treatment or an alternative source is required before the water is used for drinking.</w:t>
      </w:r>
    </w:p>
    <w:p>
      <w:r>
        <w:rPr>
          <w:b/>
          <w:sz w:val="18"/>
        </w:rPr>
        <w:t>Table 2. Parameters above guideline or standard limits.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9"/>
              </w:rPr>
              <w:t>Parameter</w:t>
            </w:r>
          </w:p>
        </w:tc>
        <w:tc>
          <w:tcPr>
            <w:tcW w:type="dxa" w:w="2268"/>
            <w:shd w:val="clear" w:fill="1F5C8B"/>
          </w:tcPr>
          <w:p>
            <w:r/>
            <w:r>
              <w:rPr>
                <w:b/>
                <w:color w:val="FFFFFF"/>
                <w:sz w:val="19"/>
              </w:rPr>
              <w:t>Value</w:t>
            </w:r>
          </w:p>
        </w:tc>
        <w:tc>
          <w:tcPr>
            <w:tcW w:type="dxa" w:w="2268"/>
            <w:shd w:val="clear" w:fill="1F5C8B"/>
          </w:tcPr>
          <w:p>
            <w:r/>
            <w:r>
              <w:rPr>
                <w:b/>
                <w:color w:val="FFFFFF"/>
                <w:sz w:val="19"/>
              </w:rPr>
              <w:t>Unit</w:t>
            </w:r>
          </w:p>
        </w:tc>
        <w:tc>
          <w:tcPr>
            <w:tcW w:type="dxa" w:w="2268"/>
            <w:shd w:val="clear" w:fill="1F5C8B"/>
          </w:tcPr>
          <w:p>
            <w:r/>
            <w:r>
              <w:rPr>
                <w:b/>
                <w:color w:val="FFFFFF"/>
                <w:sz w:val="19"/>
              </w:rPr>
              <w:t>Remark</w:t>
            </w:r>
          </w:p>
        </w:tc>
      </w:tr>
      <w:tr>
        <w:tc>
          <w:tcPr>
            <w:tcW w:type="dxa" w:w="2268"/>
          </w:tcPr>
          <w:p>
            <w:r/>
            <w:r>
              <w:rPr>
                <w:sz w:val="19"/>
              </w:rPr>
              <w:t>Manganese</w:t>
            </w:r>
          </w:p>
        </w:tc>
        <w:tc>
          <w:tcPr>
            <w:tcW w:type="dxa" w:w="2268"/>
          </w:tcPr>
          <w:p>
            <w:r/>
            <w:r>
              <w:rPr>
                <w:sz w:val="19"/>
              </w:rPr>
              <w:t>0.12</w:t>
            </w:r>
          </w:p>
        </w:tc>
        <w:tc>
          <w:tcPr>
            <w:tcW w:type="dxa" w:w="2268"/>
          </w:tcPr>
          <w:p>
            <w:r/>
            <w:r>
              <w:rPr>
                <w:sz w:val="19"/>
              </w:rPr>
              <w:t>mg/L</w:t>
            </w:r>
          </w:p>
        </w:tc>
        <w:tc>
          <w:tcPr>
            <w:tcW w:type="dxa" w:w="2268"/>
          </w:tcPr>
          <w:p>
            <w:r/>
            <w:r>
              <w:rPr>
                <w:sz w:val="19"/>
              </w:rPr>
              <w:t>exceeds the WHO health based guideline (0.08)</w:t>
            </w:r>
          </w:p>
        </w:tc>
      </w:tr>
      <w:tr>
        <w:tc>
          <w:tcPr>
            <w:tcW w:type="dxa" w:w="2268"/>
          </w:tcPr>
          <w:p>
            <w:r/>
            <w:r>
              <w:rPr>
                <w:sz w:val="19"/>
              </w:rPr>
              <w:t>Total coliforms</w:t>
            </w:r>
          </w:p>
        </w:tc>
        <w:tc>
          <w:tcPr>
            <w:tcW w:type="dxa" w:w="2268"/>
          </w:tcPr>
          <w:p>
            <w:r/>
            <w:r>
              <w:rPr>
                <w:sz w:val="19"/>
              </w:rPr>
              <w:t>4</w:t>
            </w:r>
          </w:p>
        </w:tc>
        <w:tc>
          <w:tcPr>
            <w:tcW w:type="dxa" w:w="2268"/>
          </w:tcPr>
          <w:p>
            <w:r/>
            <w:r>
              <w:rPr>
                <w:sz w:val="19"/>
              </w:rPr>
              <w:t>CFU/100 mL</w:t>
            </w:r>
          </w:p>
        </w:tc>
        <w:tc>
          <w:tcPr>
            <w:tcW w:type="dxa" w:w="2268"/>
          </w:tcPr>
          <w:p>
            <w:r/>
            <w:r>
              <w:rPr>
                <w:sz w:val="19"/>
              </w:rPr>
              <w:t>microbiological indicator detected above the limit (0); a health (faecal contamination) concern, not aesthetic</w:t>
            </w:r>
          </w:p>
        </w:tc>
      </w:tr>
      <w:tr>
        <w:tc>
          <w:tcPr>
            <w:tcW w:type="dxa" w:w="2268"/>
          </w:tcPr>
          <w:p>
            <w:r/>
            <w:r>
              <w:rPr>
                <w:sz w:val="19"/>
              </w:rPr>
              <w:t>pH</w:t>
            </w:r>
          </w:p>
        </w:tc>
        <w:tc>
          <w:tcPr>
            <w:tcW w:type="dxa" w:w="2268"/>
          </w:tcPr>
          <w:p>
            <w:r/>
            <w:r>
              <w:rPr>
                <w:sz w:val="19"/>
              </w:rPr>
              <w:t>5.9</w:t>
            </w:r>
          </w:p>
        </w:tc>
        <w:tc>
          <w:tcPr>
            <w:tcW w:type="dxa" w:w="2268"/>
          </w:tcPr>
          <w:p>
            <w:r/>
            <w:r>
              <w:rPr>
                <w:sz w:val="19"/>
              </w:rPr>
              <w:t>pH units</w:t>
            </w:r>
          </w:p>
        </w:tc>
        <w:tc>
          <w:tcPr>
            <w:tcW w:type="dxa" w:w="2268"/>
          </w:tcPr>
          <w:p>
            <w:r/>
            <w:r>
              <w:rPr>
                <w:sz w:val="19"/>
              </w:rPr>
              <w:t>exceeds the national acceptability limit (6.5-8.5)</w:t>
            </w:r>
          </w:p>
        </w:tc>
      </w:tr>
      <w:tr>
        <w:tc>
          <w:tcPr>
            <w:tcW w:type="dxa" w:w="2268"/>
          </w:tcPr>
          <w:p>
            <w:r/>
            <w:r>
              <w:rPr>
                <w:sz w:val="19"/>
              </w:rPr>
              <w:t>Iron</w:t>
            </w:r>
          </w:p>
        </w:tc>
        <w:tc>
          <w:tcPr>
            <w:tcW w:type="dxa" w:w="2268"/>
          </w:tcPr>
          <w:p>
            <w:r/>
            <w:r>
              <w:rPr>
                <w:sz w:val="19"/>
              </w:rPr>
              <w:t>0.85</w:t>
            </w:r>
          </w:p>
        </w:tc>
        <w:tc>
          <w:tcPr>
            <w:tcW w:type="dxa" w:w="2268"/>
          </w:tcPr>
          <w:p>
            <w:r/>
            <w:r>
              <w:rPr>
                <w:sz w:val="19"/>
              </w:rPr>
              <w:t>mg/L</w:t>
            </w:r>
          </w:p>
        </w:tc>
        <w:tc>
          <w:tcPr>
            <w:tcW w:type="dxa" w:w="2268"/>
          </w:tcPr>
          <w:p>
            <w:r/>
            <w:r>
              <w:rPr>
                <w:sz w:val="19"/>
              </w:rPr>
              <w:t>exceeds the national acceptability limit (0.3)</w:t>
            </w:r>
          </w:p>
        </w:tc>
      </w:tr>
    </w:tbl>
    <w:p/>
    <w:p>
      <w:pPr>
        <w:pStyle w:val="Heading1"/>
      </w:pPr>
      <w:r>
        <w:t>5. Operation and Maintenance Guidance</w:t>
      </w:r>
    </w:p>
    <w:p>
      <w:pPr>
        <w:jc w:val="both"/>
      </w:pPr>
      <w:r>
        <w:rPr>
          <w:b w:val="0"/>
          <w:i w:val="0"/>
        </w:rPr>
        <w:t>The lifetime of the borehole depends on routine care. The tasks below follow standard rural water supply practice; the community should keep a logbook of all maintenance, breakdowns and payments.</w:t>
      </w:r>
    </w:p>
    <w:p>
      <w:r>
        <w:rPr>
          <w:b/>
          <w:i w:val="0"/>
        </w:rPr>
        <w:t>Daily</w:t>
      </w:r>
    </w:p>
    <w:p>
      <w:pPr>
        <w:pStyle w:val="ListBullet"/>
      </w:pPr>
      <w:r>
        <w:t>Keep the apron and surroundings clean; no washing or animal watering on the apron.</w:t>
      </w:r>
    </w:p>
    <w:p>
      <w:pPr>
        <w:pStyle w:val="ListBullet"/>
      </w:pPr>
      <w:r>
        <w:t>Check for leaks, unusual pump noise and discoloured water.</w:t>
      </w:r>
    </w:p>
    <w:p>
      <w:pPr>
        <w:pStyle w:val="ListBullet"/>
      </w:pPr>
      <w:r>
        <w:t>Keep the drainage channel and soakaway free flowing.</w:t>
      </w:r>
    </w:p>
    <w:p>
      <w:r>
        <w:rPr>
          <w:b/>
          <w:i w:val="0"/>
        </w:rPr>
        <w:t>Weekly</w:t>
      </w:r>
    </w:p>
    <w:p>
      <w:pPr>
        <w:pStyle w:val="ListBullet"/>
      </w:pPr>
      <w:r>
        <w:t>Tighten loose bolts on the pump head and inspect the apron for cracks.</w:t>
      </w:r>
    </w:p>
    <w:p>
      <w:pPr>
        <w:pStyle w:val="ListBullet"/>
      </w:pPr>
      <w:r>
        <w:t>Record the approximate hours of use or strokes per day.</w:t>
      </w:r>
    </w:p>
    <w:p>
      <w:r>
        <w:rPr>
          <w:b/>
          <w:i w:val="0"/>
        </w:rPr>
        <w:t>Monthly</w:t>
      </w:r>
    </w:p>
    <w:p>
      <w:pPr>
        <w:pStyle w:val="ListBullet"/>
      </w:pPr>
      <w:r>
        <w:t>Measure and record the water level where a dip access exists.</w:t>
      </w:r>
    </w:p>
    <w:p>
      <w:pPr>
        <w:pStyle w:val="ListBullet"/>
      </w:pPr>
      <w:r>
        <w:t>Collect the agreed user fees and update the cash book.</w:t>
      </w:r>
    </w:p>
    <w:p>
      <w:pPr>
        <w:pStyle w:val="ListBullet"/>
      </w:pPr>
      <w:r>
        <w:t>Inspect the fence and the sanitary protection zone (no pit latrine, refuse pit or animal pen within 30 m).</w:t>
      </w:r>
    </w:p>
    <w:p>
      <w:r>
        <w:rPr>
          <w:b/>
          <w:i w:val="0"/>
        </w:rPr>
        <w:t>Yearly</w:t>
      </w:r>
    </w:p>
    <w:p>
      <w:pPr>
        <w:pStyle w:val="ListBullet"/>
      </w:pPr>
      <w:r>
        <w:t>Service the pump according to the manufacturer schedule and replace fast wearing parts.</w:t>
      </w:r>
    </w:p>
    <w:p>
      <w:pPr>
        <w:pStyle w:val="ListBullet"/>
      </w:pPr>
      <w:r>
        <w:t>Repeat the physico-chemical and bacteriological water tests.</w:t>
      </w:r>
    </w:p>
    <w:p>
      <w:pPr>
        <w:pStyle w:val="ListBullet"/>
      </w:pPr>
      <w:r>
        <w:t>Review the tariff against the cost of spare parts.</w:t>
      </w:r>
    </w:p>
    <w:p>
      <w:r>
        <w:rPr>
          <w:b/>
          <w:i w:val="0"/>
        </w:rPr>
        <w:t>Operate the pump at no more than 0.97 m3/h and allow the recommended rest periods. If the water level reaches the pump intake, stop pumping and let the borehole recover.</w:t>
      </w:r>
    </w:p>
    <w:p>
      <w:pPr>
        <w:pStyle w:val="Heading1"/>
      </w:pPr>
      <w:r>
        <w:t>6. Community / WASH Committee</w:t>
      </w:r>
    </w:p>
    <w:p>
      <w:r>
        <w:rPr>
          <w:b/>
          <w:sz w:val="18"/>
        </w:rPr>
        <w:t>Table 3. WASH committee members responsible for the water point.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1F5C8B"/>
          </w:tcPr>
          <w:p>
            <w:r/>
            <w:r>
              <w:rPr>
                <w:b/>
                <w:color w:val="FFFFFF"/>
                <w:sz w:val="19"/>
              </w:rPr>
              <w:t>Role</w:t>
            </w:r>
          </w:p>
        </w:tc>
        <w:tc>
          <w:tcPr>
            <w:tcW w:type="dxa" w:w="3024"/>
            <w:shd w:val="clear" w:fill="1F5C8B"/>
          </w:tcPr>
          <w:p>
            <w:r/>
            <w:r>
              <w:rPr>
                <w:b/>
                <w:color w:val="FFFFFF"/>
                <w:sz w:val="19"/>
              </w:rPr>
              <w:t>Name</w:t>
            </w:r>
          </w:p>
        </w:tc>
        <w:tc>
          <w:tcPr>
            <w:tcW w:type="dxa" w:w="3024"/>
            <w:shd w:val="clear" w:fill="1F5C8B"/>
          </w:tcPr>
          <w:p>
            <w:r/>
            <w:r>
              <w:rPr>
                <w:b/>
                <w:color w:val="FFFFFF"/>
                <w:sz w:val="19"/>
              </w:rPr>
              <w:t>Phone</w:t>
            </w:r>
          </w:p>
        </w:tc>
      </w:tr>
      <w:tr>
        <w:tc>
          <w:tcPr>
            <w:tcW w:type="dxa" w:w="3024"/>
          </w:tcPr>
          <w:p>
            <w:r/>
            <w:r>
              <w:rPr>
                <w:sz w:val="19"/>
              </w:rPr>
              <w:t>Chairperson</w:t>
            </w:r>
          </w:p>
        </w:tc>
        <w:tc>
          <w:tcPr>
            <w:tcW w:type="dxa" w:w="3024"/>
          </w:tcPr>
          <w:p>
            <w:r/>
            <w:r>
              <w:rPr>
                <w:sz w:val="19"/>
              </w:rPr>
              <w:t>To be completed</w:t>
            </w:r>
          </w:p>
        </w:tc>
        <w:tc>
          <w:tcPr>
            <w:tcW w:type="dxa" w:w="3024"/>
          </w:tcPr>
          <w:p>
            <w:r/>
            <w:r>
              <w:rPr>
                <w:sz w:val="19"/>
              </w:rPr>
            </w:r>
          </w:p>
        </w:tc>
      </w:tr>
      <w:tr>
        <w:tc>
          <w:tcPr>
            <w:tcW w:type="dxa" w:w="3024"/>
          </w:tcPr>
          <w:p>
            <w:r/>
            <w:r>
              <w:rPr>
                <w:sz w:val="19"/>
              </w:rPr>
              <w:t>Secretary</w:t>
            </w:r>
          </w:p>
        </w:tc>
        <w:tc>
          <w:tcPr>
            <w:tcW w:type="dxa" w:w="3024"/>
          </w:tcPr>
          <w:p>
            <w:r/>
            <w:r>
              <w:rPr>
                <w:sz w:val="19"/>
              </w:rPr>
              <w:t>To be completed</w:t>
            </w:r>
          </w:p>
        </w:tc>
        <w:tc>
          <w:tcPr>
            <w:tcW w:type="dxa" w:w="3024"/>
          </w:tcPr>
          <w:p>
            <w:r/>
            <w:r>
              <w:rPr>
                <w:sz w:val="19"/>
              </w:rPr>
            </w:r>
          </w:p>
        </w:tc>
      </w:tr>
      <w:tr>
        <w:tc>
          <w:tcPr>
            <w:tcW w:type="dxa" w:w="3024"/>
          </w:tcPr>
          <w:p>
            <w:r/>
            <w:r>
              <w:rPr>
                <w:sz w:val="19"/>
              </w:rPr>
              <w:t>Treasurer</w:t>
            </w:r>
          </w:p>
        </w:tc>
        <w:tc>
          <w:tcPr>
            <w:tcW w:type="dxa" w:w="3024"/>
          </w:tcPr>
          <w:p>
            <w:r/>
            <w:r>
              <w:rPr>
                <w:sz w:val="19"/>
              </w:rPr>
              <w:t>To be completed</w:t>
            </w:r>
          </w:p>
        </w:tc>
        <w:tc>
          <w:tcPr>
            <w:tcW w:type="dxa" w:w="3024"/>
          </w:tcPr>
          <w:p>
            <w:r/>
            <w:r>
              <w:rPr>
                <w:sz w:val="19"/>
              </w:rPr>
            </w:r>
          </w:p>
        </w:tc>
      </w:tr>
      <w:tr>
        <w:tc>
          <w:tcPr>
            <w:tcW w:type="dxa" w:w="3024"/>
          </w:tcPr>
          <w:p>
            <w:r/>
            <w:r>
              <w:rPr>
                <w:sz w:val="19"/>
              </w:rPr>
              <w:t>Caretaker</w:t>
            </w:r>
          </w:p>
        </w:tc>
        <w:tc>
          <w:tcPr>
            <w:tcW w:type="dxa" w:w="3024"/>
          </w:tcPr>
          <w:p>
            <w:r/>
            <w:r>
              <w:rPr>
                <w:sz w:val="19"/>
              </w:rPr>
              <w:t>To be completed</w:t>
            </w:r>
          </w:p>
        </w:tc>
        <w:tc>
          <w:tcPr>
            <w:tcW w:type="dxa" w:w="3024"/>
          </w:tcPr>
          <w:p>
            <w:r/>
            <w:r>
              <w:rPr>
                <w:sz w:val="19"/>
              </w:rPr>
            </w:r>
          </w:p>
        </w:tc>
      </w:tr>
    </w:tbl>
    <w:p/>
    <w:p>
      <w:pPr>
        <w:pStyle w:val="Heading1"/>
      </w:pPr>
      <w:r>
        <w:t>7. Recommendations</w:t>
      </w:r>
    </w:p>
    <w:p>
      <w:pPr>
        <w:pStyle w:val="ListBullet"/>
      </w:pPr>
      <w:r>
        <w:t>Specify uPVC or stainless steel (grade 304 or 316) for the rising main and pump components, and avoid galvanised iron and mild steel, which corrode rapidly in this water and are a leading cause of premature handpump failure. Inspect the rising main and pump rods for corrosion at each service.</w:t>
      </w:r>
    </w:p>
    <w:p>
      <w:pPr>
        <w:pStyle w:val="ListBullet"/>
      </w:pPr>
      <w:r>
        <w:t>Implement the treatment measures in the water quality report before the water is used for drinking.</w:t>
      </w:r>
    </w:p>
    <w:p>
      <w:pPr>
        <w:pStyle w:val="ListBullet"/>
      </w:pPr>
      <w:r>
        <w:t>Protect the wellhead: keep the 30 m sanitary zone free of latrines, refuse pits and animal pens.</w:t>
      </w:r>
    </w:p>
    <w:p>
      <w:pPr>
        <w:pStyle w:val="ListBullet"/>
      </w:pPr>
      <w:r>
        <w:t>Keep this report and the borehole data sheet with the committee records; any future contractor will need them.</w:t>
      </w:r>
    </w:p>
    <w:p>
      <w:pPr>
        <w:pStyle w:val="ListBullet"/>
      </w:pPr>
      <w:r>
        <w:t>Report persistent taste, odour or discolouration to the district water office and arrange a water quality test.</w:t>
      </w:r>
    </w:p>
    <w:p>
      <w:pPr>
        <w:pStyle w:val="Heading1"/>
      </w:pPr>
      <w:r>
        <w:t>References</w:t>
      </w:r>
    </w:p>
    <w:p>
      <w:pPr>
        <w:spacing w:after="80"/>
        <w:ind w:left="454" w:hanging="454"/>
      </w:pPr>
      <w:r>
        <w:t>Rural Water Supply Network (2015). Professional Water Well Drilling: A UNICEF Guidance Note. St Gallen: RWSN / UNICEF.</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pPr>
        <w:pStyle w:val="Heading1"/>
      </w:pPr>
      <w:r>
        <w:t>8. Handover Signatures</w:t>
      </w:r>
    </w:p>
    <w:p>
      <w:r>
        <w:rPr>
          <w:b w:val="0"/>
          <w:i w:val="0"/>
        </w:rPr>
        <w:t>The works described above are handed over to the client and the community in working condition.</w:t>
      </w:r>
    </w:p>
    <w:p>
      <w:r>
        <w:rPr>
          <w:b w:val="0"/>
          <w:i w:val="0"/>
        </w:rPr>
      </w:r>
    </w:p>
    <w:p>
      <w:r>
        <w:rPr>
          <w:b w:val="0"/>
          <w:i w:val="0"/>
        </w:rPr>
        <w:t>..............................</w:t>
      </w:r>
    </w:p>
    <w:p>
      <w:r>
        <w:rPr>
          <w:b/>
          <w:i w:val="0"/>
        </w:rPr>
        <w:t>For the contractor: WiNGiN Heavy Duty Machines Co. Ltd</w:t>
      </w:r>
    </w:p>
    <w:p>
      <w:r>
        <w:rPr>
          <w:b w:val="0"/>
          <w:i w:val="0"/>
        </w:rPr>
        <w:t>Date: ........................</w:t>
      </w:r>
    </w:p>
    <w:p>
      <w:r>
        <w:rPr>
          <w:b w:val="0"/>
          <w:i w:val="0"/>
        </w:rPr>
      </w:r>
    </w:p>
    <w:p>
      <w:r>
        <w:rPr>
          <w:b w:val="0"/>
          <w:i w:val="0"/>
        </w:rPr>
        <w:t>..............................</w:t>
      </w:r>
    </w:p>
    <w:p>
      <w:r>
        <w:rPr>
          <w:b/>
          <w:i w:val="0"/>
        </w:rPr>
        <w:t>For the client: Dr. Timbo</w:t>
      </w:r>
    </w:p>
    <w:p>
      <w:r>
        <w:rPr>
          <w:b w:val="0"/>
          <w:i w:val="0"/>
        </w:rPr>
        <w:t>Date: ........................</w:t>
      </w:r>
    </w:p>
    <w:p>
      <w:r>
        <w:rPr>
          <w:b w:val="0"/>
          <w:i w:val="0"/>
        </w:rPr>
      </w:r>
    </w:p>
    <w:p>
      <w:r>
        <w:rPr>
          <w:b w:val="0"/>
          <w:i w:val="0"/>
        </w:rPr>
        <w:t>..............................</w:t>
      </w:r>
    </w:p>
    <w:p>
      <w:r>
        <w:rPr>
          <w:b/>
          <w:i w:val="0"/>
        </w:rPr>
        <w:t xml:space="preserve">For the community / WASH committee: </w:t>
      </w:r>
    </w:p>
    <w:p>
      <w:r>
        <w:rPr>
          <w:b w:val="0"/>
          <w:i w:val="0"/>
        </w:rPr>
        <w:t>Date: ........................</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