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Water safety: treatment required before drinking.</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(over a 1 to 4 m dry-season decline, 51 to 52 m); basis: the yield recommendation's setting at the adopted transmissivity, 52 m, which the transmissivity band does not move, set instead in plain casing clear of the screens by the design; the band is the recommendation's; provisional.</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jc w:val="center"/>
      </w:pPr>
      <w:r>
        <w:drawing>
          <wp:inline xmlns:a="http://schemas.openxmlformats.org/drawingml/2006/main" xmlns:pic="http://schemas.openxmlformats.org/drawingml/2006/picture">
            <wp:extent cx="5400000" cy="3391056"/>
            <wp:docPr id="5" name="Picture 5"/>
            <wp:cNvGraphicFramePr>
              <a:graphicFrameLocks noChangeAspect="1"/>
            </wp:cNvGraphicFramePr>
            <a:graphic>
              <a:graphicData uri="http://schemas.openxmlformats.org/drawingml/2006/picture">
                <pic:pic>
                  <pic:nvPicPr>
                    <pic:cNvPr id="0" name="diagnostic_BH-1.png"/>
                    <pic:cNvPicPr/>
                  </pic:nvPicPr>
                  <pic:blipFill>
                    <a:blip r:embed="rId14"/>
                    <a:stretch>
                      <a:fillRect/>
                    </a:stretch>
                  </pic:blipFill>
                  <pic:spPr>
                    <a:xfrm>
                      <a:off x="0" y="0"/>
                      <a:ext cx="5400000" cy="3391056"/>
                    </a:xfrm>
                    <a:prstGeom prst="rect"/>
                  </pic:spPr>
                </pic:pic>
              </a:graphicData>
            </a:graphic>
          </wp:inline>
        </w:drawing>
      </w:r>
    </w:p>
    <w:p>
      <w:pPr>
        <w:pStyle w:val="Caption"/>
        <w:jc w:val="center"/>
      </w:pPr>
      <w:r>
        <w:rPr>
          <w:b/>
          <w:sz w:val="18"/>
        </w:rPr>
        <w:t>Figure 5. Drawdown and its Bourdet derivative, with the flow regimes the derivative's slope names.</w:t>
      </w:r>
    </w:p>
    <w:p>
      <w:pPr>
        <w:jc w:val="both"/>
      </w:pPr>
      <w:r>
        <w:rPr>
          <w:b w:val="0"/>
          <w:i w:val="0"/>
        </w:rPr>
        <w:t>The Bourdet derivative of the first step's drawdown, ds/d ln t with neighbours at least 0.2 of a log cycle apart, is read from the slope of its log-log curve: a unit slope is casing storage, a plateau radial flow, a half slope linear flow along a fracture, and a fall or a rise after the plateau a boundary. On this test no run of three derivative points holds one slope over enough of a log cycle to name a regime.</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jc w:val="both"/>
      </w:pPr>
      <w:r>
        <w:rPr>
          <w:b w:val="0"/>
          <w:i w:val="0"/>
        </w:rPr>
        <w:t>Resampling the Cooper-Jacob residuals in blocks of 2 consecutive readings (400 resamples of 8 readings, a circular block bootstrap) puts the transmissivity between 0.482 and 0.612 m2/day (P10 to P90). The band is narrower than its percentiles name: on synthetic tests with independent 2 cm reading errors a band drawn this way held the true value in 64 to 74 tests in a hundred, not 80, and in 48 when consecutive errors ran together. Read it as the least the spread can be.</w:t>
      </w:r>
    </w:p>
    <w:p>
      <w:pPr>
        <w:jc w:val="both"/>
      </w:pPr>
      <w:r>
        <w:rPr>
          <w:b w:val="0"/>
          <w:i w:val="0"/>
        </w:rPr>
        <w:t>With the static level lowered by the 2 m dry-season reserve, as the recommendation is, that band puts the safe yield between 0.354 and 0.443 m3/h.</w:t>
      </w:r>
    </w:p>
    <w:p>
      <w:pPr>
        <w:jc w:val="both"/>
      </w:pPr>
      <w:r>
        <w:rPr>
          <w:b w:val="0"/>
          <w:i w:val="0"/>
        </w:rPr>
        <w:t>At the low end of the band the long-term yield is 0.53 m3/h, which still covers the recommended 0.391 m3/h: the safety factor absorbs the spread in the data at the dry-season level.</w:t>
      </w:r>
    </w:p>
    <w:p>
      <w:pPr>
        <w:jc w:val="both"/>
      </w:pPr>
      <w:r>
        <w:rPr>
          <w:b w:val="0"/>
          <w:i w:val="0"/>
        </w:rPr>
        <w:t>The pump intake moves between 51 and 52 m below the top of the casing over a dry-season decline of 1 to 4 m. The transmissivity band does not move it: the intake is set by the drawdown available, not by the rate.</w:t>
      </w:r>
    </w:p>
    <w:p>
      <w:pPr>
        <w:jc w:val="both"/>
      </w:pPr>
      <w:r>
        <w:rPr>
          <w:b w:val="0"/>
          <w:i w:val="0"/>
        </w:rPr>
        <w:t>The Theis fit's own covariance puts its transmissivity between 0.417 and 0.527 m2/day (nominally P10 to P90; on the same synthetic tests it held the true value in 67 tests in a hundred). That band assumes every reading's error is independent of the next, which the bootstrap does not.</w:t>
      </w:r>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