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Water safety: treatment required before drinking.</w:t>
      </w:r>
    </w:p>
    <w:p>
      <w:pPr>
        <w:pStyle w:val="ListBullet"/>
      </w:pPr>
      <w:r>
        <w:t>Keep this report with the WASH committee records and maintain the sanitary protection zone around the wellhead.</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(over a 1 to 4 m dry-season decline, 51 to 52 m); basis: the yield recommendation's setting at the adopted transmissivity, 52 m, which the transmissivity band does not move, set instead in plain casing clear of the screens by the design; the band is the recommendation's; provisional.</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designed with 5 inch uPVC casing, 19 m of screen, no gravel pack (the 19 mm annulus is too thin to place one) and sanitary seal to 20 m; the drilling log records no casing string as installed.</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55942"/>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7055942"/>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