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0.97 m3/h at a pump setting of 39 m. The water requires treatment before drinking.</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12835"/>
            <wp:docPr id="1" name="Picture 1"/>
            <wp:cNvGraphicFramePr>
              <a:graphicFrameLocks noChangeAspect="1"/>
            </wp:cNvGraphicFramePr>
            <a:graphic>
              <a:graphicData uri="http://schemas.openxmlformats.org/drawingml/2006/picture">
                <pic:pic>
                  <pic:nvPicPr>
                    <pic:cNvPr id="0" name="study_area_map_8p3260_13p0991.png"/>
                    <pic:cNvPicPr/>
                  </pic:nvPicPr>
                  <pic:blipFill>
                    <a:blip r:embed="rId10"/>
                    <a:stretch>
                      <a:fillRect/>
                    </a:stretch>
                  </pic:blipFill>
                  <pic:spPr>
                    <a:xfrm>
                      <a:off x="0" y="0"/>
                      <a:ext cx="5040000" cy="4712835"/>
                    </a:xfrm>
                    <a:prstGeom prst="rect"/>
                  </pic:spPr>
                </pic:pic>
              </a:graphicData>
            </a:graphic>
          </wp:inline>
        </w:drawing>
      </w:r>
    </w:p>
    <w:p>
      <w:pPr>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627023"/>
            <wp:docPr id="2" name="Picture 2"/>
            <wp:cNvGraphicFramePr>
              <a:graphicFrameLocks noChangeAspect="1"/>
            </wp:cNvGraphicFramePr>
            <a:graphic>
              <a:graphicData uri="http://schemas.openxmlformats.org/drawingml/2006/picture">
                <pic:pic>
                  <pic:nvPicPr>
                    <pic:cNvPr id="0" name="admin_map_8p3260_13p0991.png"/>
                    <pic:cNvPicPr/>
                  </pic:nvPicPr>
                  <pic:blipFill>
                    <a:blip r:embed="rId11"/>
                    <a:stretch>
                      <a:fillRect/>
                    </a:stretch>
                  </pic:blipFill>
                  <pic:spPr>
                    <a:xfrm>
                      <a:off x="0" y="0"/>
                      <a:ext cx="5040000" cy="4627023"/>
                    </a:xfrm>
                    <a:prstGeom prst="rect"/>
                  </pic:spPr>
                </pic:pic>
              </a:graphicData>
            </a:graphic>
          </wp:inline>
        </w:drawing>
      </w:r>
    </w:p>
    <w:p>
      <w:pPr>
        <w:jc w:val="center"/>
      </w:pPr>
      <w:r>
        <w:rPr>
          <w:b/>
          <w:sz w:val="18"/>
        </w:rPr>
        <w:t>Figure 2.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w:t>
      </w:r>
    </w:p>
    <w:p>
      <w:pPr>
        <w:pStyle w:val="ListBullet"/>
      </w:pPr>
      <w:r>
        <w:t>Gravel packing of the annulus.</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w:t>
      </w:r>
    </w:p>
    <w:p>
      <w:r>
        <w:rPr>
          <w:b/>
          <w:sz w:val="18"/>
        </w:rPr>
        <w:t>Table 2. Construction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6-12 m</w:t>
            </w:r>
          </w:p>
        </w:tc>
      </w:tr>
      <w:tr>
        <w:tc>
          <w:tcPr>
            <w:tcW w:type="dxa" w:w="4536"/>
          </w:tcPr>
          <w:p>
            <w:r/>
            <w:r>
              <w:rPr>
                <w:sz w:val="19"/>
              </w:rPr>
              <w:t>Sanitary seal</w:t>
            </w:r>
          </w:p>
        </w:tc>
        <w:tc>
          <w:tcPr>
            <w:tcW w:type="dxa" w:w="4536"/>
          </w:tcPr>
          <w:p>
            <w:r/>
            <w:r>
              <w:rPr>
                <w:sz w:val="19"/>
              </w:rPr>
              <w:t>0-6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bl>
    <w:p/>
    <w:p>
      <w:pPr>
        <w:jc w:val="center"/>
      </w:pPr>
      <w:r>
        <w:drawing>
          <wp:inline xmlns:a="http://schemas.openxmlformats.org/drawingml/2006/main" xmlns:pic="http://schemas.openxmlformats.org/drawingml/2006/picture">
            <wp:extent cx="4860000" cy="7363038"/>
            <wp:docPr id="3" name="Picture 3"/>
            <wp:cNvGraphicFramePr>
              <a:graphicFrameLocks noChangeAspect="1"/>
            </wp:cNvGraphicFramePr>
            <a:graphic>
              <a:graphicData uri="http://schemas.openxmlformats.org/drawingml/2006/picture">
                <pic:pic>
                  <pic:nvPicPr>
                    <pic:cNvPr id="0" name="borehole_design_BH-1.png"/>
                    <pic:cNvPicPr/>
                  </pic:nvPicPr>
                  <pic:blipFill>
                    <a:blip r:embed="rId12"/>
                    <a:stretch>
                      <a:fillRect/>
                    </a:stretch>
                  </pic:blipFill>
                  <pic:spPr>
                    <a:xfrm>
                      <a:off x="0" y="0"/>
                      <a:ext cx="4860000" cy="7363038"/>
                    </a:xfrm>
                    <a:prstGeom prst="rect"/>
                  </pic:spPr>
                </pic:pic>
              </a:graphicData>
            </a:graphic>
          </wp:inline>
        </w:drawing>
      </w:r>
    </w:p>
    <w:p>
      <w:pPr>
        <w:jc w:val="center"/>
      </w:pPr>
      <w:r>
        <w:rPr>
          <w:b/>
          <w:sz w:val="18"/>
        </w:rPr>
        <w:t>Figure 3. As-built borehole design with lithology and construction columns.</w:t>
      </w:r>
    </w:p>
    <w:p>
      <w:r>
        <w:rPr>
          <w:b/>
          <w:i w:val="0"/>
        </w:rPr>
        <w:t>Design basis:</w:t>
      </w:r>
    </w:p>
    <w:p>
      <w:pPr>
        <w:pStyle w:val="ListBullet"/>
      </w:pPr>
      <w:r>
        <w:t>screens positioned against the water strikes recorded in the drilling log (12 m, 30 m)</w:t>
      </w:r>
    </w:p>
    <w:p>
      <w:pPr>
        <w:pStyle w:val="ListBullet"/>
      </w:pPr>
      <w:r>
        <w:t>5 inch uPVC casing in a 6.5 inch hole</w:t>
      </w:r>
    </w:p>
    <w:p>
      <w:pPr>
        <w:pStyle w:val="ListBullet"/>
      </w:pPr>
      <w:r>
        <w:t>gravel pack (well sorted siliceous gravel, 2-4 mm) from 12 m to the bottom, 2 m above the top screen</w:t>
      </w:r>
    </w:p>
    <w:p>
      <w:pPr>
        <w:pStyle w:val="ListBullet"/>
      </w:pPr>
      <w:r>
        <w:t>cement sanitary seal from surface to 6 m with concrete apron with drainage channel and soakaway</w:t>
      </w:r>
    </w:p>
    <w:p>
      <w:pPr>
        <w:pStyle w:val="ListBullet"/>
      </w:pPr>
      <w:r>
        <w:t>screens kept at least 5 m below the static water level</w:t>
      </w:r>
    </w:p>
    <w:p>
      <w:pPr>
        <w:pStyle w:val="Heading1"/>
      </w:pPr>
      <w:r>
        <w:t>6. Borehole Development Record</w:t>
      </w:r>
    </w:p>
    <w:p>
      <w:r>
        <w:rPr>
          <w:b w:val="0"/>
          <w:i w:val="0"/>
        </w:rPr>
        <w:t>The borehole was developed by surging with compressed air and air lifting for a total of two hours.</w:t>
      </w:r>
    </w:p>
    <w:p>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pPr>
        <w:pStyle w:val="Heading1"/>
      </w:pPr>
      <w:r>
        <w:t>7. Pumping Test</w:t>
      </w:r>
    </w:p>
    <w:p>
      <w:pPr>
        <w:jc w:val="center"/>
      </w:pPr>
      <w:r>
        <w:drawing>
          <wp:inline xmlns:a="http://schemas.openxmlformats.org/drawingml/2006/main" xmlns:pic="http://schemas.openxmlformats.org/drawingml/2006/picture">
            <wp:extent cx="5400000" cy="2702179"/>
            <wp:docPr id="4" name="Picture 4"/>
            <wp:cNvGraphicFramePr>
              <a:graphicFrameLocks noChangeAspect="1"/>
            </wp:cNvGraphicFramePr>
            <a:graphic>
              <a:graphicData uri="http://schemas.openxmlformats.org/drawingml/2006/picture">
                <pic:pic>
                  <pic:nvPicPr>
                    <pic:cNvPr id="0" name="test_overview_BH-1.png"/>
                    <pic:cNvPicPr/>
                  </pic:nvPicPr>
                  <pic:blipFill>
                    <a:blip r:embed="rId13"/>
                    <a:stretch>
                      <a:fillRect/>
                    </a:stretch>
                  </pic:blipFill>
                  <pic:spPr>
                    <a:xfrm>
                      <a:off x="0" y="0"/>
                      <a:ext cx="5400000" cy="2702179"/>
                    </a:xfrm>
                    <a:prstGeom prst="rect"/>
                  </pic:spPr>
                </pic:pic>
              </a:graphicData>
            </a:graphic>
          </wp:inline>
        </w:drawing>
      </w:r>
    </w:p>
    <w:p>
      <w:pPr>
        <w:jc w:val="center"/>
      </w:pPr>
      <w:r>
        <w:rPr>
          <w:b/>
          <w:sz w:val="18"/>
        </w:rPr>
        <w:t>Figure 4. Constant discharge test and recovery record.</w:t>
      </w:r>
    </w:p>
    <w:p>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Specific capacity</w:t>
            </w:r>
          </w:p>
        </w:tc>
        <w:tc>
          <w:tcPr>
            <w:tcW w:type="dxa" w:w="4536"/>
          </w:tcPr>
          <w:p>
            <w:r/>
            <w:r>
              <w:rPr>
                <w:sz w:val="19"/>
              </w:rPr>
              <w:t>0.0893 m3/h per m</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Flow rate</w:t>
            </w:r>
          </w:p>
        </w:tc>
        <w:tc>
          <w:tcPr>
            <w:tcW w:type="dxa" w:w="2268"/>
          </w:tcPr>
          <w:p>
            <w:r/>
            <w:r>
              <w:rPr>
                <w:sz w:val="19"/>
              </w:rPr>
              <w:t>2,930 L/h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Installation depth</w:t>
            </w:r>
          </w:p>
        </w:tc>
        <w:tc>
          <w:tcPr>
            <w:tcW w:type="dxa" w:w="2268"/>
          </w:tcPr>
          <w:p>
            <w:r/>
            <w:r>
              <w:rPr>
                <w:sz w:val="19"/>
              </w:rPr>
              <w:t>39 m</w:t>
            </w:r>
          </w:p>
        </w:tc>
      </w:tr>
    </w:tbl>
    <w:p/>
    <w:p>
      <w:pPr>
        <w:pStyle w:val="Heading1"/>
      </w:pPr>
      <w:r>
        <w:t>9. Water Quality Summary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microbiological indicator detected above the limit (0); a health (faecal contamination) concern, not aesthetic</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w:t>
            </w:r>
          </w:p>
        </w:tc>
      </w:tr>
    </w:tbl>
    <w:p/>
    <w:p>
      <w:pPr>
        <w:pStyle w:val="Heading1"/>
      </w:pPr>
      <w:r>
        <w:t>10. Recommendations and Conclusions</w:t>
      </w:r>
    </w:p>
    <w:p>
      <w:pPr>
        <w:pStyle w:val="ListBullet"/>
      </w:pPr>
      <w:r>
        <w:t>The borehole is successful and sustainable when operated as recommended.</w:t>
      </w:r>
    </w:p>
    <w:p>
      <w:pPr>
        <w:pStyle w:val="ListBullet"/>
      </w:pPr>
      <w:r>
        <w:t>The recommended abstraction rate is 0.97 m3/h (safety factor 1.5 applied to the long term yield).</w:t>
      </w:r>
    </w:p>
    <w:p>
      <w:pPr>
        <w:pStyle w:val="ListBullet"/>
      </w:pPr>
      <w:r>
        <w:t>The pump installation depth is 39 m.</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Manager</w:t>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