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drawdown test with recovery</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pPr>
        <w:pStyle w:val="ListBullet"/>
      </w:pPr>
      <w:r>
        <w:t>Pumping test measured: No discharge is recorded for the test, so transmissivity and yield stay pending.</w:t>
      </w:r>
    </w:p>
    <w:p>
      <w:pPr>
        <w:pStyle w:val="ListBullet"/>
      </w:pPr>
      <w:r>
        <w:t>Yield established: discharge is missing on the field sheet</w:t>
      </w:r>
    </w:p>
    <w:p>
      <w:r>
        <w:br w:type="page"/>
      </w:r>
    </w:p>
    <w:p>
      <w:pPr>
        <w:pStyle w:val="Heading1"/>
      </w:pPr>
      <w:r>
        <w:t>Executive Summary</w:t>
      </w:r>
    </w:p>
    <w:p>
      <w:pPr>
        <w:jc w:val="both"/>
      </w:pPr>
      <w:r>
        <w:rPr>
          <w:b/>
          <w:i w:val="0"/>
        </w:rPr>
        <w:t>This report is provisional and not a certification (outstanding: Site position, Pumping test measured, Yield established). The findings below are those the supplied records support; the cover says what is missing.</w:t>
      </w:r>
    </w:p>
    <w:p>
      <w:pPr>
        <w:jc w:val="both"/>
      </w:pPr>
      <w:r>
        <w:rPr>
          <w:b w:val="0"/>
          <w:i w:val="0"/>
        </w:rPr>
        <w:t>A step drawdown test with recovery was carried out on the borehole at Kuntoloh. The recorded water levels are inconsistent with the stated static level, pump setting or borehole depth (see the data verification notes), so the curves are shown as recorded and their drawdowns are not to be relied on;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 drawdown test with 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 during test</w:t>
            </w:r>
          </w:p>
        </w:tc>
        <w:tc>
          <w:tcPr>
            <w:tcW w:type="dxa" w:w="2268"/>
          </w:tcPr>
          <w:p>
            <w:r/>
            <w:r>
              <w:rPr>
                <w:sz w:val="19"/>
              </w:rPr>
              <w:t>60 m</w:t>
            </w:r>
          </w:p>
        </w:tc>
        <w:tc>
          <w:tcPr>
            <w:tcW w:type="dxa" w:w="2268"/>
          </w:tcPr>
          <w:p>
            <w:r/>
            <w:r>
              <w:rPr>
                <w:b/>
                <w:sz w:val="19"/>
              </w:rPr>
              <w:t>Pumping duration</w:t>
            </w:r>
          </w:p>
        </w:tc>
        <w:tc>
          <w:tcPr>
            <w:tcW w:type="dxa" w:w="2268"/>
          </w:tcPr>
          <w:p>
            <w:r/>
            <w:r>
              <w:rPr>
                <w:sz w:val="19"/>
              </w:rPr>
              <w:t>158 min</w:t>
            </w:r>
          </w:p>
        </w:tc>
      </w:tr>
      <w:tr>
        <w:tc>
          <w:tcPr>
            <w:tcW w:type="dxa" w:w="2268"/>
          </w:tcPr>
          <w:p>
            <w:r/>
            <w:r>
              <w:rPr>
                <w:b/>
                <w:sz w:val="19"/>
              </w:rPr>
              <w:t>Length of each step</w:t>
            </w:r>
          </w:p>
        </w:tc>
        <w:tc>
          <w:tcPr>
            <w:tcW w:type="dxa" w:w="2268"/>
          </w:tcPr>
          <w:p>
            <w:r/>
            <w:r>
              <w:rPr>
                <w:sz w:val="19"/>
              </w:rPr>
              <w:t>60 min</w:t>
            </w:r>
          </w:p>
        </w:tc>
        <w:tc>
          <w:tcPr>
            <w:tcW w:type="dxa" w:w="2268"/>
          </w:tcPr>
          <w:p/>
        </w:tc>
        <w:tc>
          <w:tcPr>
            <w:tcW w:type="dxa" w:w="2268"/>
          </w:tcPr>
          <w:p/>
        </w:tc>
      </w:tr>
    </w:tbl>
    <w:p/>
    <w:p>
      <w:r>
        <w:rPr>
          <w:b w:val="0"/>
          <w:i/>
        </w:rPr>
        <w:t>Water levels are depths below the top of the casing, the datum the field sheet records them from; the casing's stick-up above ground is not recorded, so every depth in this report is to that datum.</w:t>
      </w:r>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5184906"/>
            <wp:docPr id="1" name="Picture 1"/>
            <wp:cNvGraphicFramePr>
              <a:graphicFrameLocks noChangeAspect="1"/>
            </wp:cNvGraphicFramePr>
            <a:graphic>
              <a:graphicData uri="http://schemas.openxmlformats.org/drawingml/2006/picture">
                <pic:pic>
                  <pic:nvPicPr>
                    <pic:cNvPr id="0" name="study_area_map_port_loko_district.png"/>
                    <pic:cNvPicPr/>
                  </pic:nvPicPr>
                  <pic:blipFill>
                    <a:blip r:embed="rId10"/>
                    <a:stretch>
                      <a:fillRect/>
                    </a:stretch>
                  </pic:blipFill>
                  <pic:spPr>
                    <a:xfrm>
                      <a:off x="0" y="0"/>
                      <a:ext cx="5040000" cy="5184906"/>
                    </a:xfrm>
                    <a:prstGeom prst="rect"/>
                  </pic:spPr>
                </pic:pic>
              </a:graphicData>
            </a:graphic>
          </wp:inline>
        </w:drawing>
      </w:r>
    </w:p>
    <w:p>
      <w:pPr>
        <w:pStyle w:val="Caption"/>
        <w:jc w:val="center"/>
      </w:pPr>
      <w:r>
        <w:rPr>
          <w:b/>
          <w:sz w:val="18"/>
        </w:rPr>
        <w:t>Figure 1. Study area at Port Loko district, with its location in Sierra Leone inset. Boundaries from geoBoundaries (CC BY 4.0).</w:t>
      </w:r>
    </w:p>
    <w:p>
      <w:pPr>
        <w:jc w:val="center"/>
      </w:pPr>
      <w:r>
        <w:drawing>
          <wp:inline xmlns:a="http://schemas.openxmlformats.org/drawingml/2006/main" xmlns:pic="http://schemas.openxmlformats.org/drawingml/2006/picture">
            <wp:extent cx="5040000" cy="5184906"/>
            <wp:docPr id="2" name="Picture 2"/>
            <wp:cNvGraphicFramePr>
              <a:graphicFrameLocks noChangeAspect="1"/>
            </wp:cNvGraphicFramePr>
            <a:graphic>
              <a:graphicData uri="http://schemas.openxmlformats.org/drawingml/2006/picture">
                <pic:pic>
                  <pic:nvPicPr>
                    <pic:cNvPr id="0" name="admin_map_port_loko_district.png"/>
                    <pic:cNvPicPr/>
                  </pic:nvPicPr>
                  <pic:blipFill>
                    <a:blip r:embed="rId11"/>
                    <a:stretch>
                      <a:fillRect/>
                    </a:stretch>
                  </pic:blipFill>
                  <pic:spPr>
                    <a:xfrm>
                      <a:off x="0" y="0"/>
                      <a:ext cx="5040000" cy="5184906"/>
                    </a:xfrm>
                    <a:prstGeom prst="rect"/>
                  </pic:spPr>
                </pic:pic>
              </a:graphicData>
            </a:graphic>
          </wp:inline>
        </w:drawing>
      </w:r>
    </w:p>
    <w:p>
      <w:pPr>
        <w:pStyle w:val="Caption"/>
        <w:jc w:val="center"/>
      </w:pPr>
      <w:r>
        <w:rPr>
          <w:b/>
          <w:sz w:val="18"/>
        </w:rPr>
        <w:t>Figure 2.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3133656"/>
            <wp:docPr id="3" name="Picture 3"/>
            <wp:cNvGraphicFramePr>
              <a:graphicFrameLocks noChangeAspect="1"/>
            </wp:cNvGraphicFramePr>
            <a:graphic>
              <a:graphicData uri="http://schemas.openxmlformats.org/drawingml/2006/picture">
                <pic:pic>
                  <pic:nvPicPr>
                    <pic:cNvPr id="0" name="test_overview_KTL-01.png"/>
                    <pic:cNvPicPr/>
                  </pic:nvPicPr>
                  <pic:blipFill>
                    <a:blip r:embed="rId12"/>
                    <a:stretch>
                      <a:fillRect/>
                    </a:stretch>
                  </pic:blipFill>
                  <pic:spPr>
                    <a:xfrm>
                      <a:off x="0" y="0"/>
                      <a:ext cx="5400000" cy="3133656"/>
                    </a:xfrm>
                    <a:prstGeom prst="rect"/>
                  </pic:spPr>
                </pic:pic>
              </a:graphicData>
            </a:graphic>
          </wp:inline>
        </w:drawing>
      </w:r>
    </w:p>
    <w:p>
      <w:pPr>
        <w:pStyle w:val="Caption"/>
        <w:jc w:val="center"/>
      </w:pPr>
      <w:r>
        <w:rPr>
          <w:b/>
          <w:sz w:val="18"/>
        </w:rPr>
        <w:t>Figure 3. Water level record for the full test including recovery.</w:t>
      </w:r>
    </w:p>
    <w:p>
      <w:r>
        <w:rPr>
          <w:b w:val="0"/>
          <w:i w:val="0"/>
        </w:rPr>
        <w:t>The maximum drawdown reached 59.2 m below the static water level, as recorded; the notes below say why the recorded levels cannot all be right.</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and recovery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level_below_pump: Recorded water level 78.45 m is below the pump intake at 60 m. A pump cannot draw the level below its own intake, so the pump setting, the levels or the datum on the sheet is wrong; the drawdown figures are as recorded and not to be relied on.</w:t>
      </w:r>
    </w:p>
    <w:p>
      <w:pPr>
        <w:pStyle w:val="ListBullet"/>
      </w:pPr>
      <w:r>
        <w:t>[WARNING] step_test_pending: Step test analysis pending: discharge per step is missing.</w:t>
      </w:r>
    </w:p>
    <w:p>
      <w:pPr>
        <w:pStyle w:val="Heading1"/>
      </w:pPr>
      <w:r>
        <w:t>3. Analysis</w:t>
      </w:r>
    </w:p>
    <w:p>
      <w:pPr>
        <w:jc w:val="both"/>
      </w:pPr>
      <w:r>
        <w:rPr>
          <w:b w:val="0"/>
          <w:i w:val="0"/>
        </w:rPr>
        <w:t>The first step has fewer than five positive drawdowns, so no derivative is drawn.</w:t>
      </w:r>
    </w:p>
    <w:p>
      <w:pPr>
        <w:pStyle w:val="Heading2"/>
      </w:pPr>
      <w:r>
        <w:t>3.1 Step drawdown analysis</w:t>
      </w:r>
    </w:p>
    <w:p>
      <w:pPr>
        <w:jc w:val="center"/>
      </w:pPr>
      <w:r>
        <w:drawing>
          <wp:inline xmlns:a="http://schemas.openxmlformats.org/drawingml/2006/main" xmlns:pic="http://schemas.openxmlformats.org/drawingml/2006/picture">
            <wp:extent cx="5400000" cy="3598284"/>
            <wp:docPr id="4" name="Picture 4"/>
            <wp:cNvGraphicFramePr>
              <a:graphicFrameLocks noChangeAspect="1"/>
            </wp:cNvGraphicFramePr>
            <a:graphic>
              <a:graphicData uri="http://schemas.openxmlformats.org/drawingml/2006/picture">
                <pic:pic>
                  <pic:nvPicPr>
                    <pic:cNvPr id="0" name="step_test_KTL-01.png"/>
                    <pic:cNvPicPr/>
                  </pic:nvPicPr>
                  <pic:blipFill>
                    <a:blip r:embed="rId13"/>
                    <a:stretch>
                      <a:fillRect/>
                    </a:stretch>
                  </pic:blipFill>
                  <pic:spPr>
                    <a:xfrm>
                      <a:off x="0" y="0"/>
                      <a:ext cx="5400000" cy="3598284"/>
                    </a:xfrm>
                    <a:prstGeom prst="rect"/>
                  </pic:spPr>
                </pic:pic>
              </a:graphicData>
            </a:graphic>
          </wp:inline>
        </w:drawing>
      </w:r>
    </w:p>
    <w:p>
      <w:pPr>
        <w:pStyle w:val="Caption"/>
        <w:jc w:val="center"/>
      </w:pPr>
      <w:r>
        <w:rPr>
          <w:b/>
          <w:sz w:val="18"/>
        </w:rPr>
        <w:t>Figure 4.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pPr>
        <w:pStyle w:val="Caption"/>
      </w:pPr>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Transmissivity adopted for the yield</w:t>
            </w:r>
          </w:p>
        </w:tc>
        <w:tc>
          <w:tcPr>
            <w:tcW w:type="dxa" w:w="4536"/>
          </w:tcPr>
          <w:p>
            <w:r/>
            <w:r>
              <w:rPr>
                <w:sz w:val="19"/>
              </w:rPr>
              <w:t>pending</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Confidence</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r>
        <w:tc>
          <w:tcPr>
            <w:tcW w:type="dxa" w:w="4536"/>
          </w:tcPr>
          <w:p>
            <w:r/>
            <w:r>
              <w:rPr>
                <w:sz w:val="19"/>
              </w:rPr>
              <w:t>Pump setting during the test</w:t>
            </w:r>
          </w:p>
        </w:tc>
        <w:tc>
          <w:tcPr>
            <w:tcW w:type="dxa" w:w="4536"/>
          </w:tcPr>
          <w:p>
            <w:r/>
            <w:r>
              <w:rPr>
                <w:sz w:val="19"/>
              </w:rPr>
              <w:t>60 m</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This report gives the yield at the water level measured on the day of the test; no seasonal projection was supplied, so the dry-season and drought-year figures are not given. Two water-level readings a year apart in this borehole would allow that projection.</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Papadopulos, I.S. and Cooper, H.H. (1967). Drawdown in a well of large diameter. Water Resources Research, 3(1), 241-244.</w:t>
      </w:r>
    </w:p>
    <w:p>
      <w:pPr>
        <w:spacing w:after="80"/>
        <w:ind w:left="454" w:hanging="454"/>
      </w:pPr>
      <w:r>
        <w:t>Stehfest, H. (1970). Algorithm 368: Numerical inversion of Laplace transforms. Communications of the ACM, 13(1), 47-49.</w:t>
      </w:r>
    </w:p>
    <w:p>
      <w:pPr>
        <w:spacing w:after="80"/>
        <w:ind w:left="454" w:hanging="454"/>
      </w:pPr>
      <w:r>
        <w:t>Bourdet, D., Ayoub, J.A. and Pirard, Y.M. (1989). Use of pressure derivative in well-test interpretation. SPE Formation Evaluation, 4(2), 293-302.</w:t>
      </w:r>
    </w:p>
    <w:p>
      <w:pPr>
        <w:spacing w:after="80"/>
        <w:ind w:left="454" w:hanging="454"/>
      </w:pPr>
      <w:r>
        <w:t>Renard, P., Glenz, D. and Mejias, M. (2009). Understanding diagnostic plots for well-test interpretation. Hydrogeology Journal, 17(3), 589-600.</w:t>
      </w:r>
    </w:p>
    <w:p>
      <w:pPr>
        <w:spacing w:after="80"/>
        <w:ind w:left="454" w:hanging="454"/>
      </w:pPr>
      <w:r>
        <w:t>Kuensch, H.R. (1989). The jackknife and the bootstrap for general stationary observations. The Annals of Statistics, 17(3), 1217-1241.</w:t>
      </w:r>
    </w:p>
    <w:p>
      <w:pPr>
        <w:spacing w:after="80"/>
        <w:ind w:left="454" w:hanging="454"/>
      </w:pPr>
      <w:r>
        <w:t>Hall, P., Horowitz, J.L. and Jing, B.-Y. (1995). On blocking rules for the bootstrap with dependent data. Biometrika, 82(3), 561-574.</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WiNGiN</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