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PUMPING TEST REPORT</w:t>
      </w:r>
    </w:p>
    <w:p>
      <w:pPr>
        <w:jc w:val="center"/>
      </w:pPr>
      <w:r>
        <w:rPr>
          <w:sz w:val="26"/>
        </w:rPr>
        <w:t>Step With Recovery Test</w:t>
      </w:r>
    </w:p>
    <w:p>
      <w:pPr>
        <w:jc w:val="center"/>
      </w:pPr>
      <w:r>
        <w:rPr>
          <w:sz w:val="26"/>
        </w:rPr>
        <w:t>at Kuntoloh, Port Loko District</w:t>
      </w:r>
    </w:p>
    <w:p/>
    <w:p/>
    <w:p/>
    <w:p>
      <w:pPr>
        <w:jc w:val="center"/>
      </w:pPr>
      <w:r>
        <w:rPr>
          <w:b/>
        </w:rPr>
        <w:t xml:space="preserve">Client: </w:t>
      </w:r>
      <w:r>
        <w:t>ACF</w:t>
      </w:r>
    </w:p>
    <w:p>
      <w:pPr>
        <w:jc w:val="center"/>
      </w:pPr>
      <w:r>
        <w:rPr>
          <w:b/>
        </w:rPr>
        <w:t xml:space="preserve">Borehole: </w:t>
      </w:r>
      <w:r>
        <w:t>KTL-01</w:t>
      </w:r>
    </w:p>
    <w:p>
      <w:pPr>
        <w:jc w:val="center"/>
      </w:pPr>
      <w:r>
        <w:rPr>
          <w:b/>
        </w:rPr>
        <w:t xml:space="preserve">Test date: </w:t>
      </w:r>
      <w:r>
        <w:t>1st April, 2017</w:t>
      </w:r>
    </w:p>
    <w:p>
      <w:pPr>
        <w:jc w:val="center"/>
      </w:pPr>
      <w:r>
        <w:rPr>
          <w:b/>
        </w:rPr>
        <w:t xml:space="preserve">Conducted by: </w:t>
      </w:r>
      <w:r>
        <w:t>WiNGiN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pPr>
        <w:pStyle w:val="ListBullet"/>
      </w:pPr>
      <w:r>
        <w:t>Pumping test measured: No discharge is recorded for the test, so transmissivity and yield stay pending.</w:t>
      </w:r>
    </w:p>
    <w:p>
      <w:pPr>
        <w:pStyle w:val="ListBullet"/>
      </w:pPr>
      <w:r>
        <w:t>Yield established: discharge is missing on the field sheet</w:t>
      </w:r>
    </w:p>
    <w:p>
      <w:r>
        <w:br w:type="page"/>
      </w:r>
    </w:p>
    <w:p>
      <w:pPr>
        <w:pStyle w:val="Heading1"/>
      </w:pPr>
      <w:r>
        <w:t>Executive Summary</w:t>
      </w:r>
    </w:p>
    <w:p>
      <w:pPr>
        <w:jc w:val="both"/>
      </w:pPr>
      <w:r>
        <w:rPr>
          <w:b w:val="0"/>
          <w:i w:val="0"/>
        </w:rPr>
        <w:t>A step with recovery pumping test was carried out on the borehole at Kuntoloh. The drawdown and recovery curves are valid, but the transmissivity and safe yield are pending because discharge is missing on the field sheet.</w:t>
      </w:r>
    </w:p>
    <w:p>
      <w:r>
        <w:rPr>
          <w:b/>
          <w:i w:val="0"/>
        </w:rPr>
        <w:t>Key findings:</w:t>
      </w:r>
    </w:p>
    <w:p>
      <w:pPr>
        <w:pStyle w:val="ListBullet"/>
      </w:pPr>
      <w:r>
        <w:t>Yield recommendation pending: discharge is missing on the field sheet.</w:t>
      </w:r>
    </w:p>
    <w:p>
      <w:r>
        <w:br w:type="page"/>
      </w:r>
    </w:p>
    <w:p>
      <w:pPr>
        <w:pStyle w:val="Heading1"/>
      </w:pPr>
      <w:r>
        <w:t>1. Test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Kuntoloh</w:t>
            </w:r>
          </w:p>
        </w:tc>
        <w:tc>
          <w:tcPr>
            <w:tcW w:type="dxa" w:w="2268"/>
          </w:tcPr>
          <w:p>
            <w:r/>
            <w:r>
              <w:rPr>
                <w:b/>
                <w:sz w:val="19"/>
              </w:rPr>
              <w:t>Client</w:t>
            </w:r>
          </w:p>
        </w:tc>
        <w:tc>
          <w:tcPr>
            <w:tcW w:type="dxa" w:w="2268"/>
          </w:tcPr>
          <w:p>
            <w:r/>
            <w:r>
              <w:rPr>
                <w:sz w:val="19"/>
              </w:rPr>
              <w:t>ACF</w:t>
            </w:r>
          </w:p>
        </w:tc>
      </w:tr>
      <w:tr>
        <w:tc>
          <w:tcPr>
            <w:tcW w:type="dxa" w:w="2268"/>
          </w:tcPr>
          <w:p>
            <w:r/>
            <w:r>
              <w:rPr>
                <w:b/>
                <w:sz w:val="19"/>
              </w:rPr>
              <w:t>Borehole Ref. No.</w:t>
            </w:r>
          </w:p>
        </w:tc>
        <w:tc>
          <w:tcPr>
            <w:tcW w:type="dxa" w:w="2268"/>
          </w:tcPr>
          <w:p>
            <w:r/>
            <w:r>
              <w:rPr>
                <w:sz w:val="19"/>
              </w:rPr>
              <w:t>KTL-01</w:t>
            </w:r>
          </w:p>
        </w:tc>
        <w:tc>
          <w:tcPr>
            <w:tcW w:type="dxa" w:w="2268"/>
          </w:tcPr>
          <w:p>
            <w:r/>
            <w:r>
              <w:rPr>
                <w:b/>
                <w:sz w:val="19"/>
              </w:rPr>
              <w:t>Date</w:t>
            </w:r>
          </w:p>
        </w:tc>
        <w:tc>
          <w:tcPr>
            <w:tcW w:type="dxa" w:w="2268"/>
          </w:tcPr>
          <w:p>
            <w:r/>
            <w:r>
              <w:rPr>
                <w:sz w:val="19"/>
              </w:rPr>
              <w:t>1st April, 2017</w:t>
            </w:r>
          </w:p>
        </w:tc>
      </w:tr>
      <w:tr>
        <w:tc>
          <w:tcPr>
            <w:tcW w:type="dxa" w:w="2268"/>
          </w:tcPr>
          <w:p>
            <w:r/>
            <w:r>
              <w:rPr>
                <w:b/>
                <w:sz w:val="19"/>
              </w:rPr>
              <w:t>Test type</w:t>
            </w:r>
          </w:p>
        </w:tc>
        <w:tc>
          <w:tcPr>
            <w:tcW w:type="dxa" w:w="2268"/>
          </w:tcPr>
          <w:p>
            <w:r/>
            <w:r>
              <w:rPr>
                <w:sz w:val="19"/>
              </w:rPr>
              <w:t>step+recovery</w:t>
            </w:r>
          </w:p>
        </w:tc>
        <w:tc>
          <w:tcPr>
            <w:tcW w:type="dxa" w:w="2268"/>
          </w:tcPr>
          <w:p>
            <w:r/>
            <w:r>
              <w:rPr>
                <w:b/>
                <w:sz w:val="19"/>
              </w:rPr>
              <w:t>Conducted by</w:t>
            </w:r>
          </w:p>
        </w:tc>
        <w:tc>
          <w:tcPr>
            <w:tcW w:type="dxa" w:w="2268"/>
          </w:tcPr>
          <w:p>
            <w:r/>
            <w:r>
              <w:rPr>
                <w:sz w:val="19"/>
              </w:rPr>
              <w:t>WiNGiN</w:t>
            </w:r>
          </w:p>
        </w:tc>
      </w:tr>
      <w:tr>
        <w:tc>
          <w:tcPr>
            <w:tcW w:type="dxa" w:w="2268"/>
          </w:tcPr>
          <w:p>
            <w:r/>
            <w:r>
              <w:rPr>
                <w:b/>
                <w:sz w:val="19"/>
              </w:rPr>
              <w:t>Depth of borehole</w:t>
            </w:r>
          </w:p>
        </w:tc>
        <w:tc>
          <w:tcPr>
            <w:tcW w:type="dxa" w:w="2268"/>
          </w:tcPr>
          <w:p>
            <w:r/>
            <w:r>
              <w:rPr>
                <w:sz w:val="19"/>
              </w:rPr>
              <w:t>70 m</w:t>
            </w:r>
          </w:p>
        </w:tc>
        <w:tc>
          <w:tcPr>
            <w:tcW w:type="dxa" w:w="2268"/>
          </w:tcPr>
          <w:p>
            <w:r/>
            <w:r>
              <w:rPr>
                <w:b/>
                <w:sz w:val="19"/>
              </w:rPr>
              <w:t>Static water level</w:t>
            </w:r>
          </w:p>
        </w:tc>
        <w:tc>
          <w:tcPr>
            <w:tcW w:type="dxa" w:w="2268"/>
          </w:tcPr>
          <w:p>
            <w:r/>
            <w:r>
              <w:rPr>
                <w:sz w:val="19"/>
              </w:rPr>
              <w:t>19.3 m</w:t>
            </w:r>
          </w:p>
        </w:tc>
      </w:tr>
      <w:tr>
        <w:tc>
          <w:tcPr>
            <w:tcW w:type="dxa" w:w="2268"/>
          </w:tcPr>
          <w:p>
            <w:r/>
            <w:r>
              <w:rPr>
                <w:b/>
                <w:sz w:val="19"/>
              </w:rPr>
              <w:t>Pump setting</w:t>
            </w:r>
          </w:p>
        </w:tc>
        <w:tc>
          <w:tcPr>
            <w:tcW w:type="dxa" w:w="2268"/>
          </w:tcPr>
          <w:p>
            <w:r/>
            <w:r>
              <w:rPr>
                <w:sz w:val="19"/>
              </w:rPr>
              <w:t>60 m</w:t>
            </w:r>
          </w:p>
        </w:tc>
        <w:tc>
          <w:tcPr>
            <w:tcW w:type="dxa" w:w="2268"/>
          </w:tcPr>
          <w:p>
            <w:r/>
            <w:r>
              <w:rPr>
                <w:b/>
                <w:sz w:val="19"/>
              </w:rPr>
              <w:t>Length of each step</w:t>
            </w:r>
          </w:p>
        </w:tc>
        <w:tc>
          <w:tcPr>
            <w:tcW w:type="dxa" w:w="2268"/>
          </w:tcPr>
          <w:p>
            <w:r/>
            <w:r>
              <w:rPr>
                <w:sz w:val="19"/>
              </w:rPr>
              <w:t>60 min</w:t>
            </w:r>
          </w:p>
        </w:tc>
      </w:tr>
    </w:tbl>
    <w:p/>
    <w:p>
      <w:r>
        <w:rPr>
          <w:b w:val="0"/>
          <w:i w:val="0"/>
        </w:rPr>
        <w:t>Discharge rates: Step 1: not recorded, Step 2: not recorded, Step 3: not recorded.</w:t>
      </w:r>
    </w:p>
    <w:p>
      <w:r>
        <w:rPr>
          <w:b/>
          <w:i w:val="0"/>
        </w:rPr>
        <w:t>The discharge rate was not recorded on the field sheet. The drawdown and recovery curves below remain valid; transmissivity and yield results are pending until the discharge is supplied.</w:t>
      </w:r>
    </w:p>
    <w:p>
      <w:pPr>
        <w:pStyle w:val="Heading2"/>
      </w:pPr>
      <w:r>
        <w:t>1.1 Location and setting</w:t>
      </w:r>
    </w:p>
    <w:p>
      <w:pPr>
        <w:jc w:val="both"/>
      </w:pPr>
      <w:r>
        <w:rPr>
          <w:b w:val="0"/>
          <w:i w:val="0"/>
        </w:rPr>
        <w:t>The site is recorded as Kuntoloh, Port Loko district. No GPS position is recorded for it, so the maps below cover Port Loko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944987"/>
            <wp:docPr id="1" name="Picture 1"/>
            <wp:cNvGraphicFramePr>
              <a:graphicFrameLocks noChangeAspect="1"/>
            </wp:cNvGraphicFramePr>
            <a:graphic>
              <a:graphicData uri="http://schemas.openxmlformats.org/drawingml/2006/picture">
                <pic:pic>
                  <pic:nvPicPr>
                    <pic:cNvPr id="0" name="study_area_map_8p7265_12p7421.png"/>
                    <pic:cNvPicPr/>
                  </pic:nvPicPr>
                  <pic:blipFill>
                    <a:blip r:embed="rId10"/>
                    <a:stretch>
                      <a:fillRect/>
                    </a:stretch>
                  </pic:blipFill>
                  <pic:spPr>
                    <a:xfrm>
                      <a:off x="0" y="0"/>
                      <a:ext cx="5040000" cy="4944987"/>
                    </a:xfrm>
                    <a:prstGeom prst="rect"/>
                  </pic:spPr>
                </pic:pic>
              </a:graphicData>
            </a:graphic>
          </wp:inline>
        </w:drawing>
      </w:r>
    </w:p>
    <w:p>
      <w:pPr>
        <w:jc w:val="center"/>
      </w:pPr>
      <w:r>
        <w:rPr>
          <w:b/>
          <w:sz w:val="18"/>
        </w:rPr>
        <w:t>Figure 1. Study area at Port Loko district, with its location in Sierra Leone inset. Boundaries from geoBoundaries (CC BY 4.0).</w:t>
      </w:r>
    </w:p>
    <w:p>
      <w:pPr>
        <w:jc w:val="center"/>
      </w:pPr>
      <w:r>
        <w:drawing>
          <wp:inline xmlns:a="http://schemas.openxmlformats.org/drawingml/2006/main" xmlns:pic="http://schemas.openxmlformats.org/drawingml/2006/picture">
            <wp:extent cx="5040000" cy="4979120"/>
            <wp:docPr id="2" name="Picture 2"/>
            <wp:cNvGraphicFramePr>
              <a:graphicFrameLocks noChangeAspect="1"/>
            </wp:cNvGraphicFramePr>
            <a:graphic>
              <a:graphicData uri="http://schemas.openxmlformats.org/drawingml/2006/picture">
                <pic:pic>
                  <pic:nvPicPr>
                    <pic:cNvPr id="0" name="admin_map_8p7265_12p7421.png"/>
                    <pic:cNvPicPr/>
                  </pic:nvPicPr>
                  <pic:blipFill>
                    <a:blip r:embed="rId11"/>
                    <a:stretch>
                      <a:fillRect/>
                    </a:stretch>
                  </pic:blipFill>
                  <pic:spPr>
                    <a:xfrm>
                      <a:off x="0" y="0"/>
                      <a:ext cx="5040000" cy="4979120"/>
                    </a:xfrm>
                    <a:prstGeom prst="rect"/>
                  </pic:spPr>
                </pic:pic>
              </a:graphicData>
            </a:graphic>
          </wp:inline>
        </w:drawing>
      </w:r>
    </w:p>
    <w:p>
      <w:pPr>
        <w:jc w:val="center"/>
      </w:pPr>
      <w:r>
        <w:rPr>
          <w:b/>
          <w:sz w:val="18"/>
        </w:rPr>
        <w:t>Figure 2. Location of Port Loko district. Boundaries from geoBoundaries (CC BY 4.0).</w:t>
      </w:r>
    </w:p>
    <w:p>
      <w:pPr>
        <w:pStyle w:val="Heading1"/>
      </w:pPr>
      <w:r>
        <w:t>2. Field Data</w:t>
      </w:r>
    </w:p>
    <w:p>
      <w:pPr>
        <w:jc w:val="both"/>
      </w:pPr>
      <w:r>
        <w:rPr>
          <w:b w:val="0"/>
          <w:i w:val="0"/>
        </w:rPr>
        <w:t>True drawdown is computed as the measured water level minus the static water level. The drawdown column recorded on the field sheet holds the increment between successive readings and is not used directly. Reading intervals are irregular and are handled as recorded.</w:t>
      </w:r>
    </w:p>
    <w:p>
      <w:pPr>
        <w:jc w:val="center"/>
      </w:pPr>
      <w:r>
        <w:drawing>
          <wp:inline xmlns:a="http://schemas.openxmlformats.org/drawingml/2006/main" xmlns:pic="http://schemas.openxmlformats.org/drawingml/2006/picture">
            <wp:extent cx="5400000" cy="2702179"/>
            <wp:docPr id="3" name="Picture 3"/>
            <wp:cNvGraphicFramePr>
              <a:graphicFrameLocks noChangeAspect="1"/>
            </wp:cNvGraphicFramePr>
            <a:graphic>
              <a:graphicData uri="http://schemas.openxmlformats.org/drawingml/2006/picture">
                <pic:pic>
                  <pic:nvPicPr>
                    <pic:cNvPr id="0" name="test_overview_KTL-01.png"/>
                    <pic:cNvPicPr/>
                  </pic:nvPicPr>
                  <pic:blipFill>
                    <a:blip r:embed="rId12"/>
                    <a:stretch>
                      <a:fillRect/>
                    </a:stretch>
                  </pic:blipFill>
                  <pic:spPr>
                    <a:xfrm>
                      <a:off x="0" y="0"/>
                      <a:ext cx="5400000" cy="2702179"/>
                    </a:xfrm>
                    <a:prstGeom prst="rect"/>
                  </pic:spPr>
                </pic:pic>
              </a:graphicData>
            </a:graphic>
          </wp:inline>
        </w:drawing>
      </w:r>
    </w:p>
    <w:p>
      <w:pPr>
        <w:jc w:val="center"/>
      </w:pPr>
      <w:r>
        <w:rPr>
          <w:b/>
          <w:sz w:val="18"/>
        </w:rPr>
        <w:t>Figure 3. Water level record for the full test including recovery.</w:t>
      </w:r>
    </w:p>
    <w:p>
      <w:r>
        <w:rPr>
          <w:b w:val="0"/>
          <w:i w:val="0"/>
        </w:rPr>
        <w:t>The maximum drawdown reached 59.2 m below the static water level.</w:t>
      </w:r>
    </w:p>
    <w:p>
      <w:r>
        <w:rPr>
          <w:b/>
          <w:i w:val="0"/>
        </w:rPr>
        <w:t>Data verification notes:</w:t>
      </w:r>
    </w:p>
    <w:p>
      <w:pPr>
        <w:pStyle w:val="ListBullet"/>
      </w:pPr>
      <w:r>
        <w:t>[WARNING] missing_discharge: Discharge not recorded for step(s) 1, 2, 3. Drawdown and recovery curves are produced, but transmissivity and yield results are pending until discharge values are supplied.</w:t>
      </w:r>
    </w:p>
    <w:p>
      <w:pPr>
        <w:pStyle w:val="ListBullet"/>
      </w:pPr>
      <w:r>
        <w:t>[WARNING] water_level_above_static: Some pumping and recovery water levels are above the stated static water level, giving negative drawdown. Check the static level and the measuring datum on the sheet.</w:t>
      </w:r>
    </w:p>
    <w:p>
      <w:pPr>
        <w:pStyle w:val="ListBullet"/>
      </w:pPr>
      <w:r>
        <w:t>[WARNING] level_below_borehole: Recorded water level 78.45 m exceeds the stated borehole depth 70 m; check the sheet.</w:t>
      </w:r>
    </w:p>
    <w:p>
      <w:pPr>
        <w:pStyle w:val="ListBullet"/>
      </w:pPr>
      <w:r>
        <w:t>[WARNING] step_test_pending: Step test analysis pending: discharge per step is missing.</w:t>
      </w:r>
    </w:p>
    <w:p>
      <w:pPr>
        <w:pStyle w:val="Heading1"/>
      </w:pPr>
      <w:r>
        <w:t>3. Analysis</w:t>
      </w:r>
    </w:p>
    <w:p>
      <w:pPr>
        <w:pStyle w:val="Heading2"/>
      </w:pPr>
      <w:r>
        <w:t>3.1 Step drawdown analysis</w:t>
      </w:r>
    </w:p>
    <w:p>
      <w:pPr>
        <w:jc w:val="center"/>
      </w:pPr>
      <w:r>
        <w:drawing>
          <wp:inline xmlns:a="http://schemas.openxmlformats.org/drawingml/2006/main" xmlns:pic="http://schemas.openxmlformats.org/drawingml/2006/picture">
            <wp:extent cx="5400000" cy="3191611"/>
            <wp:docPr id="4" name="Picture 4"/>
            <wp:cNvGraphicFramePr>
              <a:graphicFrameLocks noChangeAspect="1"/>
            </wp:cNvGraphicFramePr>
            <a:graphic>
              <a:graphicData uri="http://schemas.openxmlformats.org/drawingml/2006/picture">
                <pic:pic>
                  <pic:nvPicPr>
                    <pic:cNvPr id="0" name="step_test_KTL-01.png"/>
                    <pic:cNvPicPr/>
                  </pic:nvPicPr>
                  <pic:blipFill>
                    <a:blip r:embed="rId13"/>
                    <a:stretch>
                      <a:fillRect/>
                    </a:stretch>
                  </pic:blipFill>
                  <pic:spPr>
                    <a:xfrm>
                      <a:off x="0" y="0"/>
                      <a:ext cx="5400000" cy="3191611"/>
                    </a:xfrm>
                    <a:prstGeom prst="rect"/>
                  </pic:spPr>
                </pic:pic>
              </a:graphicData>
            </a:graphic>
          </wp:inline>
        </w:drawing>
      </w:r>
    </w:p>
    <w:p>
      <w:pPr>
        <w:jc w:val="center"/>
      </w:pPr>
      <w:r>
        <w:rPr>
          <w:b/>
          <w:sz w:val="18"/>
        </w:rPr>
        <w:t>Figure 4. Step drawdown curves (discharge pending).</w:t>
      </w:r>
    </w:p>
    <w:p>
      <w:r>
        <w:rPr>
          <w:b w:val="0"/>
          <w:i w:val="0"/>
        </w:rPr>
        <w:t>Hantush-Bierschenk analysis is pending until the discharge of each step is supplied.</w:t>
      </w:r>
    </w:p>
    <w:p>
      <w:pPr>
        <w:pStyle w:val="Heading1"/>
      </w:pPr>
      <w:r>
        <w:t>4. Results Summary</w:t>
      </w:r>
    </w:p>
    <w:p>
      <w:r>
        <w:rPr>
          <w:b/>
          <w:i w:val="0"/>
        </w:rPr>
        <w:t>Transmissivity: pending (discharge not recorded).</w:t>
      </w:r>
    </w:p>
    <w:p>
      <w:r>
        <w:rPr>
          <w:b/>
          <w:sz w:val="18"/>
        </w:rPr>
        <w:t>Table 1. Yield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Quantity</w:t>
            </w:r>
          </w:p>
        </w:tc>
        <w:tc>
          <w:tcPr>
            <w:tcW w:type="dxa" w:w="4536"/>
            <w:shd w:val="clear" w:fill="1F5C8B"/>
          </w:tcPr>
          <w:p>
            <w:r/>
            <w:r>
              <w:rPr>
                <w:b/>
                <w:color w:val="FFFFFF"/>
                <w:sz w:val="19"/>
              </w:rPr>
              <w:t>Value</w:t>
            </w:r>
          </w:p>
        </w:tc>
      </w:tr>
      <w:tr>
        <w:tc>
          <w:tcPr>
            <w:tcW w:type="dxa" w:w="4536"/>
          </w:tcPr>
          <w:p>
            <w:r/>
            <w:r>
              <w:rPr>
                <w:sz w:val="19"/>
              </w:rPr>
              <w:t>Transmissivity adopted for the yield</w:t>
            </w:r>
          </w:p>
        </w:tc>
        <w:tc>
          <w:tcPr>
            <w:tcW w:type="dxa" w:w="4536"/>
          </w:tcPr>
          <w:p>
            <w:r/>
            <w:r>
              <w:rPr>
                <w:sz w:val="19"/>
              </w:rPr>
              <w:t>pending</w:t>
            </w:r>
          </w:p>
        </w:tc>
      </w:tr>
      <w:tr>
        <w:tc>
          <w:tcPr>
            <w:tcW w:type="dxa" w:w="4536"/>
          </w:tcPr>
          <w:p>
            <w:r/>
            <w:r>
              <w:rPr>
                <w:sz w:val="19"/>
              </w:rPr>
              <w:t>Specific capacity</w:t>
            </w:r>
          </w:p>
        </w:tc>
        <w:tc>
          <w:tcPr>
            <w:tcW w:type="dxa" w:w="4536"/>
          </w:tcPr>
          <w:p>
            <w:r/>
            <w:r>
              <w:rPr>
                <w:sz w:val="19"/>
              </w:rPr>
              <w:t>pending</w:t>
            </w:r>
          </w:p>
        </w:tc>
      </w:tr>
      <w:tr>
        <w:tc>
          <w:tcPr>
            <w:tcW w:type="dxa" w:w="4536"/>
          </w:tcPr>
          <w:p>
            <w:r/>
            <w:r>
              <w:rPr>
                <w:sz w:val="19"/>
              </w:rPr>
              <w:t>Available drawdown</w:t>
            </w:r>
          </w:p>
        </w:tc>
        <w:tc>
          <w:tcPr>
            <w:tcW w:type="dxa" w:w="4536"/>
          </w:tcPr>
          <w:p>
            <w:r/>
            <w:r>
              <w:rPr>
                <w:sz w:val="19"/>
              </w:rPr>
              <w:t>37.7 m</w:t>
            </w:r>
          </w:p>
        </w:tc>
      </w:tr>
      <w:tr>
        <w:tc>
          <w:tcPr>
            <w:tcW w:type="dxa" w:w="4536"/>
          </w:tcPr>
          <w:p>
            <w:r/>
            <w:r>
              <w:rPr>
                <w:sz w:val="19"/>
              </w:rPr>
              <w:t>Usable drawdown</w:t>
            </w:r>
          </w:p>
        </w:tc>
        <w:tc>
          <w:tcPr>
            <w:tcW w:type="dxa" w:w="4536"/>
          </w:tcPr>
          <w:p>
            <w:r/>
            <w:r>
              <w:rPr>
                <w:sz w:val="19"/>
              </w:rPr>
              <w:t>25 m</w:t>
            </w:r>
          </w:p>
        </w:tc>
      </w:tr>
      <w:tr>
        <w:tc>
          <w:tcPr>
            <w:tcW w:type="dxa" w:w="4536"/>
          </w:tcPr>
          <w:p>
            <w:r/>
            <w:r>
              <w:rPr>
                <w:sz w:val="19"/>
              </w:rPr>
              <w:t>Long term yield</w:t>
            </w:r>
          </w:p>
        </w:tc>
        <w:tc>
          <w:tcPr>
            <w:tcW w:type="dxa" w:w="4536"/>
          </w:tcPr>
          <w:p>
            <w:r/>
            <w:r>
              <w:rPr>
                <w:sz w:val="19"/>
              </w:rPr>
              <w:t>pending</w:t>
            </w:r>
          </w:p>
        </w:tc>
      </w:tr>
      <w:tr>
        <w:tc>
          <w:tcPr>
            <w:tcW w:type="dxa" w:w="4536"/>
          </w:tcPr>
          <w:p>
            <w:r/>
            <w:r>
              <w:rPr>
                <w:sz w:val="19"/>
              </w:rPr>
              <w:t>Recommended safe yield (safety factor 1.5)</w:t>
            </w:r>
          </w:p>
        </w:tc>
        <w:tc>
          <w:tcPr>
            <w:tcW w:type="dxa" w:w="4536"/>
          </w:tcPr>
          <w:p>
            <w:r/>
            <w:r>
              <w:rPr>
                <w:sz w:val="19"/>
              </w:rPr>
              <w:t>pending</w:t>
            </w:r>
          </w:p>
        </w:tc>
      </w:tr>
      <w:tr>
        <w:tc>
          <w:tcPr>
            <w:tcW w:type="dxa" w:w="4536"/>
          </w:tcPr>
          <w:p>
            <w:r/>
            <w:r>
              <w:rPr>
                <w:sz w:val="19"/>
              </w:rPr>
              <w:t>Recommended pump installation depth</w:t>
            </w:r>
          </w:p>
        </w:tc>
        <w:tc>
          <w:tcPr>
            <w:tcW w:type="dxa" w:w="4536"/>
          </w:tcPr>
          <w:p>
            <w:r/>
            <w:r>
              <w:rPr>
                <w:sz w:val="19"/>
              </w:rPr>
              <w:t>pending</w:t>
            </w:r>
          </w:p>
        </w:tc>
      </w:tr>
    </w:tbl>
    <w:p/>
    <w:p>
      <w:pPr>
        <w:pStyle w:val="Heading1"/>
      </w:pPr>
      <w:r>
        <w:t>5. Yield Recommendation</w:t>
      </w:r>
    </w:p>
    <w:p>
      <w:pPr>
        <w:jc w:val="both"/>
      </w:pPr>
      <w:r>
        <w:rPr>
          <w:b w:val="0"/>
          <w:i w:val="0"/>
        </w:rPr>
        <w:t>Yield recommendation pending: discharge is missing on the field sheet.</w:t>
      </w:r>
    </w:p>
    <w:p>
      <w:pPr>
        <w:pStyle w:val="Heading1"/>
      </w:pPr>
      <w:r>
        <w:t>6. Limitations and Uncertainty</w:t>
      </w:r>
    </w:p>
    <w:p>
      <w:pPr>
        <w:pStyle w:val="ListBullet"/>
      </w:pPr>
      <w:r>
        <w:t>The analysis assumes a homogeneous, isotropic aquifer of large extent. A barrier or a recharge (stream or coast) boundary, if present, changes the late-time drawdown slope and would bias the transmissivity.</w:t>
      </w:r>
    </w:p>
    <w:p>
      <w:pPr>
        <w:pStyle w:val="ListBullet"/>
      </w:pPr>
      <w:r>
        <w:t>In a single pumped well the storativity trades off against the effective well radius, so any storativity reported from this test is indicative only.</w:t>
      </w:r>
    </w:p>
    <w:p>
      <w:pPr>
        <w:pStyle w:val="ListBullet"/>
      </w:pPr>
      <w:r>
        <w:t>The safe yield is projected to the design period from a short test; it should be confirmed by monitoring the pumping water level once the borehole is in service.</w:t>
      </w:r>
    </w:p>
    <w:p>
      <w:pPr>
        <w:pStyle w:val="ListBullet"/>
      </w:pPr>
      <w:r>
        <w:t>Yield varies with the season. This report gives the yield at the water level measured on the day of the test; no seasonal projection was supplied, so the dry-season and drought-year figures are not given. Two water-level readings a year apart in this borehole would allow that projection.</w:t>
      </w:r>
    </w:p>
    <w:p>
      <w:pPr>
        <w:pStyle w:val="Heading1"/>
      </w:pPr>
      <w:r>
        <w:t>References</w:t>
      </w:r>
    </w:p>
    <w:p>
      <w:pPr>
        <w:spacing w:after="80"/>
        <w:ind w:left="454" w:hanging="454"/>
      </w:pPr>
      <w:r>
        <w:t>Theis, C.V. (1935). The relation between the lowering of the piezometric surface and the rate and duration of discharge of a well using groundwater storage. Transactions of the American Geophysical Union, 16, 519-524.</w:t>
      </w:r>
    </w:p>
    <w:p>
      <w:pPr>
        <w:spacing w:after="80"/>
        <w:ind w:left="454" w:hanging="454"/>
      </w:pPr>
      <w:r>
        <w:t>Cooper, H.H. and Jacob, C.E. (1946). A generalized graphical method for evaluating formation constants and summarizing well-field history. Transactions of the American Geophysical Union, 27, 526-534.</w:t>
      </w:r>
    </w:p>
    <w:p>
      <w:pPr>
        <w:spacing w:after="80"/>
        <w:ind w:left="454" w:hanging="454"/>
      </w:pPr>
      <w:r>
        <w:t>Hantush, M.S. (1964). Hydraulics of wells. In V.T. Chow (ed.), Advances in Hydroscience, 1, 281-442.</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Hydrogeologist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Pumping Test Report - Kuntoloh</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