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A geophysical siting survey using 2 vertical electrical sounding point(s) was carried out at Rokel, Western Area. Point B (2) is recommended as the preferred drilling location, to a depth of about 80 m. The most promising water bearing zone at the preferred point lies between 8 m to 80 m.</w:t>
      </w:r>
    </w:p>
    <w:p>
      <w:r>
        <w:rPr>
          <w:b/>
          <w:i w:val="0"/>
        </w:rPr>
        <w:t>Key findings:</w:t>
      </w:r>
    </w:p>
    <w:p>
      <w:pPr>
        <w:pStyle w:val="ListBullet"/>
      </w:pPr>
      <w:r>
        <w:t>Preferred drilling point: B (2).</w:t>
      </w:r>
    </w:p>
    <w:p>
      <w:pPr>
        <w:pStyle w:val="ListBullet"/>
      </w:pPr>
      <w:r>
        <w:t>Recommended drilling depth: about 80 m.</w:t>
      </w:r>
    </w:p>
    <w:p>
      <w:pPr>
        <w:pStyle w:val="ListBullet"/>
      </w:pPr>
      <w:r>
        <w:t>Target water zone(s): 8 m to 80 m.</w:t>
      </w:r>
    </w:p>
    <w:p>
      <w:pPr>
        <w:pStyle w:val="ListBullet"/>
      </w:pPr>
      <w:r>
        <w:t>Yield and water quality can only be confirmed by test drilling and test pumping.</w:t>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156797"/>
            <wp:docPr id="1" name="Picture 1"/>
            <wp:cNvGraphicFramePr>
              <a:graphicFrameLocks noChangeAspect="1"/>
            </wp:cNvGraphicFramePr>
            <a:graphic>
              <a:graphicData uri="http://schemas.openxmlformats.org/drawingml/2006/picture">
                <pic:pic>
                  <pic:nvPicPr>
                    <pic:cNvPr id="0" name="study_area_map_8p3759_13p1024.png"/>
                    <pic:cNvPicPr/>
                  </pic:nvPicPr>
                  <pic:blipFill>
                    <a:blip r:embed="rId10"/>
                    <a:stretch>
                      <a:fillRect/>
                    </a:stretch>
                  </pic:blipFill>
                  <pic:spPr>
                    <a:xfrm>
                      <a:off x="0" y="0"/>
                      <a:ext cx="5400000" cy="5156797"/>
                    </a:xfrm>
                    <a:prstGeom prst="rect"/>
                  </pic:spPr>
                </pic:pic>
              </a:graphicData>
            </a:graphic>
          </wp:inline>
        </w:drawing>
      </w:r>
    </w:p>
    <w:p>
      <w:pPr>
        <w:jc w:val="center"/>
      </w:pPr>
      <w:r>
        <w:rPr>
          <w:b/>
          <w:sz w:val="18"/>
        </w:rPr>
        <w:t>Figure 1. Study area at Rokel, with the survey points and its location in Sierra Leone inset. Boundaries from geoBoundaries (CC BY 4.0).</w:t>
      </w:r>
    </w:p>
    <w:p>
      <w:pPr>
        <w:jc w:val="center"/>
      </w:pPr>
      <w:r>
        <w:drawing>
          <wp:inline xmlns:a="http://schemas.openxmlformats.org/drawingml/2006/main" xmlns:pic="http://schemas.openxmlformats.org/drawingml/2006/picture">
            <wp:extent cx="5400000" cy="5334771"/>
            <wp:docPr id="2" name="Picture 2"/>
            <wp:cNvGraphicFramePr>
              <a:graphicFrameLocks noChangeAspect="1"/>
            </wp:cNvGraphicFramePr>
            <a:graphic>
              <a:graphicData uri="http://schemas.openxmlformats.org/drawingml/2006/picture">
                <pic:pic>
                  <pic:nvPicPr>
                    <pic:cNvPr id="0" name="admin_map_8p3759_13p1024.png"/>
                    <pic:cNvPicPr/>
                  </pic:nvPicPr>
                  <pic:blipFill>
                    <a:blip r:embed="rId11"/>
                    <a:stretch>
                      <a:fillRect/>
                    </a:stretch>
                  </pic:blipFill>
                  <pic:spPr>
                    <a:xfrm>
                      <a:off x="0" y="0"/>
                      <a:ext cx="5400000" cy="5334771"/>
                    </a:xfrm>
                    <a:prstGeom prst="rect"/>
                  </pic:spPr>
                </pic:pic>
              </a:graphicData>
            </a:graphic>
          </wp:inline>
        </w:drawing>
      </w:r>
    </w:p>
    <w:p>
      <w:pPr>
        <w:jc w:val="center"/>
      </w:pPr>
      <w:r>
        <w:rPr>
          <w:b/>
          <w:sz w:val="18"/>
        </w:rPr>
        <w:t>Figure 2. Location of Rokel. Boundaries from geoBoundaries (CC BY 4.0).</w:t>
      </w:r>
    </w:p>
    <w:p>
      <w:pPr>
        <w:jc w:val="center"/>
      </w:pPr>
      <w:r>
        <w:drawing>
          <wp:inline xmlns:a="http://schemas.openxmlformats.org/drawingml/2006/main" xmlns:pic="http://schemas.openxmlformats.org/drawingml/2006/picture">
            <wp:extent cx="5400000" cy="4718612"/>
            <wp:docPr id="3" name="Picture 3"/>
            <wp:cNvGraphicFramePr>
              <a:graphicFrameLocks noChangeAspect="1"/>
            </wp:cNvGraphicFramePr>
            <a:graphic>
              <a:graphicData uri="http://schemas.openxmlformats.org/drawingml/2006/picture">
                <pic:pic>
                  <pic:nvPicPr>
                    <pic:cNvPr id="0" name="hydro_local_map_8p3759_13p1024.png"/>
                    <pic:cNvPicPr/>
                  </pic:nvPicPr>
                  <pic:blipFill>
                    <a:blip r:embed="rId12"/>
                    <a:stretch>
                      <a:fillRect/>
                    </a:stretch>
                  </pic:blipFill>
                  <pic:spPr>
                    <a:xfrm>
                      <a:off x="0" y="0"/>
                      <a:ext cx="5400000" cy="4718612"/>
                    </a:xfrm>
                    <a:prstGeom prst="rect"/>
                  </pic:spPr>
                </pic:pic>
              </a:graphicData>
            </a:graphic>
          </wp:inline>
        </w:drawing>
      </w:r>
    </w:p>
    <w:p>
      <w:pPr>
        <w:jc w:val="center"/>
      </w:pPr>
      <w:r>
        <w:rPr>
          <w:b/>
          <w:sz w:val="18"/>
        </w:rPr>
        <w:t>Figure 3.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713812"/>
            <wp:docPr id="4" name="Picture 4"/>
            <wp:cNvGraphicFramePr>
              <a:graphicFrameLocks noChangeAspect="1"/>
            </wp:cNvGraphicFramePr>
            <a:graphic>
              <a:graphicData uri="http://schemas.openxmlformats.org/drawingml/2006/picture">
                <pic:pic>
                  <pic:nvPicPr>
                    <pic:cNvPr id="0" name="geology_local_map_8p3759_13p1024.png"/>
                    <pic:cNvPicPr/>
                  </pic:nvPicPr>
                  <pic:blipFill>
                    <a:blip r:embed="rId13"/>
                    <a:stretch>
                      <a:fillRect/>
                    </a:stretch>
                  </pic:blipFill>
                  <pic:spPr>
                    <a:xfrm>
                      <a:off x="0" y="0"/>
                      <a:ext cx="5400000" cy="4713812"/>
                    </a:xfrm>
                    <a:prstGeom prst="rect"/>
                  </pic:spPr>
                </pic:pic>
              </a:graphicData>
            </a:graphic>
          </wp:inline>
        </w:drawing>
      </w:r>
    </w:p>
    <w:p>
      <w:pPr>
        <w:jc w:val="center"/>
      </w:pPr>
      <w:r>
        <w:rPr>
          <w:b/>
          <w:sz w:val="18"/>
        </w:rPr>
        <w:t>Figure 4.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5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5" name="Picture 5"/>
            <wp:cNvGraphicFramePr>
              <a:graphicFrameLocks noChangeAspect="1"/>
            </wp:cNvGraphicFramePr>
            <a:graphic>
              <a:graphicData uri="http://schemas.openxmlformats.org/drawingml/2006/picture">
                <pic:pic>
                  <pic:nvPicPr>
                    <pic:cNvPr id="0" name="ves_curve_Rokel_A_1.png"/>
                    <pic:cNvPicPr/>
                  </pic:nvPicPr>
                  <pic:blipFill>
                    <a:blip r:embed="rId14"/>
                    <a:stretch>
                      <a:fillRect/>
                    </a:stretch>
                  </pic:blipFill>
                  <pic:spPr>
                    <a:xfrm>
                      <a:off x="0" y="0"/>
                      <a:ext cx="5400000" cy="2806299"/>
                    </a:xfrm>
                    <a:prstGeom prst="rect"/>
                  </pic:spPr>
                </pic:pic>
              </a:graphicData>
            </a:graphic>
          </wp:inline>
        </w:drawing>
      </w:r>
    </w:p>
    <w:p>
      <w:pPr>
        <w:jc w:val="center"/>
      </w:pPr>
      <w:r>
        <w:rPr>
          <w:b/>
          <w:sz w:val="18"/>
        </w:rPr>
        <w:t>Figure 5. Schlumberger array VES curve and model at point A (1).</w:t>
      </w:r>
    </w:p>
    <w:p>
      <w:r>
        <w:rPr>
          <w:b/>
          <w:sz w:val="18"/>
        </w:rPr>
        <w:t>Table 2. Layered earth model at point A (1) (curve type K, ERR = 13.3%).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1,106 (x/ 1.3)</w:t>
            </w:r>
          </w:p>
        </w:tc>
        <w:tc>
          <w:tcPr>
            <w:tcW w:type="dxa" w:w="1928"/>
          </w:tcPr>
          <w:p>
            <w:r/>
            <w:r>
              <w:rPr>
                <w:sz w:val="19"/>
              </w:rPr>
              <w:t>1.02 (x/ 3.7)</w:t>
            </w:r>
          </w:p>
        </w:tc>
        <w:tc>
          <w:tcPr>
            <w:tcW w:type="dxa" w:w="1587"/>
          </w:tcPr>
          <w:p>
            <w:r/>
            <w:r>
              <w:rPr>
                <w:sz w:val="19"/>
              </w:rPr>
              <w:t>0/0</w:t>
            </w:r>
          </w:p>
        </w:tc>
      </w:tr>
      <w:tr>
        <w:tc>
          <w:tcPr>
            <w:tcW w:type="dxa" w:w="680"/>
          </w:tcPr>
          <w:p>
            <w:r/>
            <w:r>
              <w:rPr>
                <w:sz w:val="19"/>
              </w:rPr>
              <w:t>2</w:t>
            </w:r>
          </w:p>
        </w:tc>
        <w:tc>
          <w:tcPr>
            <w:tcW w:type="dxa" w:w="2608"/>
          </w:tcPr>
          <w:p>
            <w:r/>
            <w:r>
              <w:rPr>
                <w:sz w:val="19"/>
              </w:rPr>
              <w:t>1,638 (x/ 1.2)</w:t>
            </w:r>
          </w:p>
        </w:tc>
        <w:tc>
          <w:tcPr>
            <w:tcW w:type="dxa" w:w="1928"/>
          </w:tcPr>
          <w:p>
            <w:r/>
            <w:r>
              <w:rPr>
                <w:sz w:val="19"/>
              </w:rPr>
              <w:t>7.08 (x/ 1.4)</w:t>
            </w:r>
          </w:p>
        </w:tc>
        <w:tc>
          <w:tcPr>
            <w:tcW w:type="dxa" w:w="1587"/>
          </w:tcPr>
          <w:p>
            <w:r/>
            <w:r>
              <w:rPr>
                <w:sz w:val="19"/>
              </w:rPr>
              <w:t>1.02</w:t>
            </w:r>
          </w:p>
        </w:tc>
      </w:tr>
      <w:tr>
        <w:tc>
          <w:tcPr>
            <w:tcW w:type="dxa" w:w="680"/>
          </w:tcPr>
          <w:p>
            <w:r/>
            <w:r>
              <w:rPr>
                <w:sz w:val="19"/>
              </w:rPr>
              <w:t>3</w:t>
            </w:r>
          </w:p>
        </w:tc>
        <w:tc>
          <w:tcPr>
            <w:tcW w:type="dxa" w:w="2608"/>
          </w:tcPr>
          <w:p>
            <w:r/>
            <w:r>
              <w:rPr>
                <w:sz w:val="19"/>
              </w:rPr>
              <w:t>47.28 (x/ 1.1)</w:t>
            </w:r>
          </w:p>
        </w:tc>
        <w:tc>
          <w:tcPr>
            <w:tcW w:type="dxa" w:w="1928"/>
          </w:tcPr>
          <w:p>
            <w:r/>
            <w:r>
              <w:rPr>
                <w:sz w:val="19"/>
              </w:rPr>
            </w:r>
          </w:p>
        </w:tc>
        <w:tc>
          <w:tcPr>
            <w:tcW w:type="dxa" w:w="1587"/>
          </w:tcPr>
          <w:p>
            <w:r/>
            <w:r>
              <w:rPr>
                <w:sz w:val="19"/>
              </w:rPr>
              <w:t>8.1</w:t>
            </w:r>
          </w:p>
        </w:tc>
      </w:tr>
    </w:tbl>
    <w:p/>
    <w:p>
      <w:pPr>
        <w:jc w:val="center"/>
      </w:pPr>
      <w:r>
        <w:drawing>
          <wp:inline xmlns:a="http://schemas.openxmlformats.org/drawingml/2006/main" xmlns:pic="http://schemas.openxmlformats.org/drawingml/2006/picture">
            <wp:extent cx="5400000" cy="4280861"/>
            <wp:docPr id="6" name="Picture 6"/>
            <wp:cNvGraphicFramePr>
              <a:graphicFrameLocks noChangeAspect="1"/>
            </wp:cNvGraphicFramePr>
            <a:graphic>
              <a:graphicData uri="http://schemas.openxmlformats.org/drawingml/2006/picture">
                <pic:pic>
                  <pic:nvPicPr>
                    <pic:cNvPr id="0" name="ves_pseudosection_Rokel_A_1.png"/>
                    <pic:cNvPicPr/>
                  </pic:nvPicPr>
                  <pic:blipFill>
                    <a:blip r:embed="rId15"/>
                    <a:stretch>
                      <a:fillRect/>
                    </a:stretch>
                  </pic:blipFill>
                  <pic:spPr>
                    <a:xfrm>
                      <a:off x="0" y="0"/>
                      <a:ext cx="5400000" cy="4280861"/>
                    </a:xfrm>
                    <a:prstGeom prst="rect"/>
                  </pic:spPr>
                </pic:pic>
              </a:graphicData>
            </a:graphic>
          </wp:inline>
        </w:drawing>
      </w:r>
    </w:p>
    <w:p>
      <w:pPr>
        <w:jc w:val="center"/>
      </w:pPr>
      <w:r>
        <w:rPr>
          <w:b/>
          <w:sz w:val="18"/>
        </w:rPr>
        <w:t>Figure 6.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1,106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0.00525 siemens and the transverse resistance is 12,700 ohm m2. The cover overlying the water bearing zone has a longitudinal conductance of 0.00525 siemens, indicating a poor protective capacity against surface contamination.</w:t>
      </w:r>
    </w:p>
    <w:p>
      <w:r>
        <w:br w:type="page"/>
      </w:r>
    </w:p>
    <w:p>
      <w:pPr>
        <w:jc w:val="both"/>
      </w:pPr>
      <w:r>
        <w:rPr>
          <w:b w:val="0"/>
          <w:i w:val="0"/>
        </w:rPr>
        <w:t>Table 3 presents the Schlumberger array VES data recorded at point B (2), from which the sounding curve of apparent resistivity against half the current electrode spacing (AB/2) in Figure 7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7" name="Picture 7"/>
            <wp:cNvGraphicFramePr>
              <a:graphicFrameLocks noChangeAspect="1"/>
            </wp:cNvGraphicFramePr>
            <a:graphic>
              <a:graphicData uri="http://schemas.openxmlformats.org/drawingml/2006/picture">
                <pic:pic>
                  <pic:nvPicPr>
                    <pic:cNvPr id="0" name="ves_curve_Rokel_B_2.png"/>
                    <pic:cNvPicPr/>
                  </pic:nvPicPr>
                  <pic:blipFill>
                    <a:blip r:embed="rId16"/>
                    <a:stretch>
                      <a:fillRect/>
                    </a:stretch>
                  </pic:blipFill>
                  <pic:spPr>
                    <a:xfrm>
                      <a:off x="0" y="0"/>
                      <a:ext cx="5400000" cy="2806299"/>
                    </a:xfrm>
                    <a:prstGeom prst="rect"/>
                  </pic:spPr>
                </pic:pic>
              </a:graphicData>
            </a:graphic>
          </wp:inline>
        </w:drawing>
      </w:r>
    </w:p>
    <w:p>
      <w:pPr>
        <w:jc w:val="center"/>
      </w:pPr>
      <w:r>
        <w:rPr>
          <w:b/>
          <w:sz w:val="18"/>
        </w:rPr>
        <w:t>Figure 7. Schlumberger array VES curve and model at point B (2).</w:t>
      </w:r>
    </w:p>
    <w:p>
      <w:r>
        <w:rPr>
          <w:b/>
          <w:sz w:val="18"/>
        </w:rPr>
        <w:t>Table 4. Layered earth model at point B (2) (curve type 2-layer descending, ERR = 26.8%). The (x/ factor) is the linearised 1-sigma uncertainty; a factor near 1 is well resolved and a large factor marks equivalence.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fill="1F5C8B"/>
          </w:tcPr>
          <w:p>
            <w:r/>
            <w:r>
              <w:rPr>
                <w:b/>
                <w:color w:val="FFFFFF"/>
                <w:sz w:val="19"/>
              </w:rPr>
              <w:t>N</w:t>
            </w:r>
          </w:p>
        </w:tc>
        <w:tc>
          <w:tcPr>
            <w:tcW w:type="dxa" w:w="2608"/>
            <w:shd w:val="clear" w:fill="1F5C8B"/>
          </w:tcPr>
          <w:p>
            <w:r/>
            <w:r>
              <w:rPr>
                <w:b/>
                <w:color w:val="FFFFFF"/>
                <w:sz w:val="19"/>
              </w:rPr>
              <w:t>rho (ohm-m)</w:t>
            </w:r>
          </w:p>
        </w:tc>
        <w:tc>
          <w:tcPr>
            <w:tcW w:type="dxa" w:w="1928"/>
            <w:shd w:val="clear" w:fill="1F5C8B"/>
          </w:tcPr>
          <w:p>
            <w:r/>
            <w:r>
              <w:rPr>
                <w:b/>
                <w:color w:val="FFFFFF"/>
                <w:sz w:val="19"/>
              </w:rPr>
              <w:t>h (m)</w:t>
            </w:r>
          </w:p>
        </w:tc>
        <w:tc>
          <w:tcPr>
            <w:tcW w:type="dxa" w:w="1587"/>
            <w:shd w:val="clear" w:fill="1F5C8B"/>
          </w:tcPr>
          <w:p>
            <w:r/>
            <w:r>
              <w:rPr>
                <w:b/>
                <w:color w:val="FFFFFF"/>
                <w:sz w:val="19"/>
              </w:rPr>
              <w:t>z (m)</w:t>
            </w:r>
          </w:p>
        </w:tc>
      </w:tr>
      <w:tr>
        <w:tc>
          <w:tcPr>
            <w:tcW w:type="dxa" w:w="680"/>
          </w:tcPr>
          <w:p>
            <w:r/>
            <w:r>
              <w:rPr>
                <w:sz w:val="19"/>
              </w:rPr>
              <w:t>1</w:t>
            </w:r>
          </w:p>
        </w:tc>
        <w:tc>
          <w:tcPr>
            <w:tcW w:type="dxa" w:w="2608"/>
          </w:tcPr>
          <w:p>
            <w:r/>
            <w:r>
              <w:rPr>
                <w:sz w:val="19"/>
              </w:rPr>
              <w:t>1,193 (x/ 1.1)</w:t>
            </w:r>
          </w:p>
        </w:tc>
        <w:tc>
          <w:tcPr>
            <w:tcW w:type="dxa" w:w="1928"/>
          </w:tcPr>
          <w:p>
            <w:r/>
            <w:r>
              <w:rPr>
                <w:sz w:val="19"/>
              </w:rPr>
              <w:t>8.28 (x/ 1.1)</w:t>
            </w:r>
          </w:p>
        </w:tc>
        <w:tc>
          <w:tcPr>
            <w:tcW w:type="dxa" w:w="1587"/>
          </w:tcPr>
          <w:p>
            <w:r/>
            <w:r>
              <w:rPr>
                <w:sz w:val="19"/>
              </w:rPr>
              <w:t>0/0</w:t>
            </w:r>
          </w:p>
        </w:tc>
      </w:tr>
      <w:tr>
        <w:tc>
          <w:tcPr>
            <w:tcW w:type="dxa" w:w="680"/>
          </w:tcPr>
          <w:p>
            <w:r/>
            <w:r>
              <w:rPr>
                <w:sz w:val="19"/>
              </w:rPr>
              <w:t>2</w:t>
            </w:r>
          </w:p>
        </w:tc>
        <w:tc>
          <w:tcPr>
            <w:tcW w:type="dxa" w:w="2608"/>
          </w:tcPr>
          <w:p>
            <w:r/>
            <w:r>
              <w:rPr>
                <w:sz w:val="19"/>
              </w:rPr>
              <w:t>49.97 (x/ 1.2)</w:t>
            </w:r>
          </w:p>
        </w:tc>
        <w:tc>
          <w:tcPr>
            <w:tcW w:type="dxa" w:w="1928"/>
          </w:tcPr>
          <w:p>
            <w:r/>
            <w:r>
              <w:rPr>
                <w:sz w:val="19"/>
              </w:rPr>
            </w:r>
          </w:p>
        </w:tc>
        <w:tc>
          <w:tcPr>
            <w:tcW w:type="dxa" w:w="1587"/>
          </w:tcPr>
          <w:p>
            <w:r/>
            <w:r>
              <w:rPr>
                <w:sz w:val="19"/>
              </w:rPr>
              <w:t>8.28</w:t>
            </w:r>
          </w:p>
        </w:tc>
      </w:tr>
    </w:tbl>
    <w:p/>
    <w:p>
      <w:pPr>
        <w:jc w:val="center"/>
      </w:pPr>
      <w:r>
        <w:drawing>
          <wp:inline xmlns:a="http://schemas.openxmlformats.org/drawingml/2006/main" xmlns:pic="http://schemas.openxmlformats.org/drawingml/2006/picture">
            <wp:extent cx="5400000" cy="4280861"/>
            <wp:docPr id="8" name="Picture 8"/>
            <wp:cNvGraphicFramePr>
              <a:graphicFrameLocks noChangeAspect="1"/>
            </wp:cNvGraphicFramePr>
            <a:graphic>
              <a:graphicData uri="http://schemas.openxmlformats.org/drawingml/2006/picture">
                <pic:pic>
                  <pic:nvPicPr>
                    <pic:cNvPr id="0" name="ves_pseudosection_Rokel_B_2.png"/>
                    <pic:cNvPicPr/>
                  </pic:nvPicPr>
                  <pic:blipFill>
                    <a:blip r:embed="rId17"/>
                    <a:stretch>
                      <a:fillRect/>
                    </a:stretch>
                  </pic:blipFill>
                  <pic:spPr>
                    <a:xfrm>
                      <a:off x="0" y="0"/>
                      <a:ext cx="5400000" cy="4280861"/>
                    </a:xfrm>
                    <a:prstGeom prst="rect"/>
                  </pic:spPr>
                </pic:pic>
              </a:graphicData>
            </a:graphic>
          </wp:inline>
        </w:drawing>
      </w:r>
    </w:p>
    <w:p>
      <w:pPr>
        <w:jc w:val="center"/>
      </w:pPr>
      <w:r>
        <w:rPr>
          <w:b/>
          <w:sz w:val="18"/>
        </w:rPr>
        <w:t>Figure 8.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 The Dar-Zarrouk longitudinal conductance of the section is 0.00694 siemens and the transverse resistance is 9,880 ohm m2. The cover overlying the water bearing zone has a longitudinal conductance of 0.00694 siemens, indicating a poor protective capacity against surface contamination.</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1,106</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2"/>
      </w:pPr>
      <w:r>
        <w:t>Drill-target suitability</w:t>
      </w:r>
    </w:p>
    <w:p>
      <w:pPr>
        <w:jc w:val="both"/>
      </w:pPr>
      <w:r>
        <w:rPr>
          <w:b w:val="0"/>
          <w:i w:val="0"/>
        </w:rPr>
        <w:t>Each surveyed point is given a transparent suitability score from 0 to 100. The score combines the interpreted water-bearing thickness, how well the resistivity of the water zone sits within the productive fractured or weathered window, the overburden profile, and the presence of a fractured zone at the basement contact. The scores rank the points as drilling targets.</w:t>
      </w:r>
    </w:p>
    <w:p>
      <w:r>
        <w:rPr>
          <w:b/>
          <w:sz w:val="18"/>
        </w:rPr>
        <w:t>Table 6. Drill-target suitability of the surveyed points.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fill="1F5C8B"/>
          </w:tcPr>
          <w:p>
            <w:r/>
            <w:r>
              <w:rPr>
                <w:b/>
                <w:color w:val="FFFFFF"/>
                <w:sz w:val="19"/>
              </w:rPr>
              <w:t>Rank</w:t>
            </w:r>
          </w:p>
        </w:tc>
        <w:tc>
          <w:tcPr>
            <w:tcW w:type="dxa" w:w="2268"/>
            <w:shd w:val="clear" w:fill="1F5C8B"/>
          </w:tcPr>
          <w:p>
            <w:r/>
            <w:r>
              <w:rPr>
                <w:b/>
                <w:color w:val="FFFFFF"/>
                <w:sz w:val="19"/>
              </w:rPr>
              <w:t>VES point</w:t>
            </w:r>
          </w:p>
        </w:tc>
        <w:tc>
          <w:tcPr>
            <w:tcW w:type="dxa" w:w="2551"/>
            <w:shd w:val="clear" w:fill="1F5C8B"/>
          </w:tcPr>
          <w:p>
            <w:r/>
            <w:r>
              <w:rPr>
                <w:b/>
                <w:color w:val="FFFFFF"/>
                <w:sz w:val="19"/>
              </w:rPr>
              <w:t>Suitability (0 to 100)</w:t>
            </w:r>
          </w:p>
        </w:tc>
        <w:tc>
          <w:tcPr>
            <w:tcW w:type="dxa" w:w="2098"/>
            <w:shd w:val="clear" w:fill="1F5C8B"/>
          </w:tcPr>
          <w:p>
            <w:r/>
            <w:r>
              <w:rPr>
                <w:b/>
                <w:color w:val="FFFFFF"/>
                <w:sz w:val="19"/>
              </w:rPr>
              <w:t>Grade</w:t>
            </w:r>
          </w:p>
        </w:tc>
      </w:tr>
      <w:tr>
        <w:tc>
          <w:tcPr>
            <w:tcW w:type="dxa" w:w="1020"/>
          </w:tcPr>
          <w:p>
            <w:r/>
            <w:r>
              <w:rPr>
                <w:sz w:val="19"/>
              </w:rPr>
              <w:t>1</w:t>
            </w:r>
          </w:p>
        </w:tc>
        <w:tc>
          <w:tcPr>
            <w:tcW w:type="dxa" w:w="2268"/>
          </w:tcPr>
          <w:p>
            <w:r/>
            <w:r>
              <w:rPr>
                <w:sz w:val="19"/>
              </w:rPr>
              <w:t>B (2)</w:t>
            </w:r>
          </w:p>
        </w:tc>
        <w:tc>
          <w:tcPr>
            <w:tcW w:type="dxa" w:w="2551"/>
          </w:tcPr>
          <w:p>
            <w:r/>
            <w:r>
              <w:rPr>
                <w:sz w:val="19"/>
              </w:rPr>
              <w:t>68</w:t>
            </w:r>
          </w:p>
        </w:tc>
        <w:tc>
          <w:tcPr>
            <w:tcW w:type="dxa" w:w="2098"/>
          </w:tcPr>
          <w:p>
            <w:r/>
            <w:r>
              <w:rPr>
                <w:sz w:val="19"/>
              </w:rPr>
              <w:t>Good</w:t>
            </w:r>
          </w:p>
        </w:tc>
      </w:tr>
      <w:tr>
        <w:tc>
          <w:tcPr>
            <w:tcW w:type="dxa" w:w="1020"/>
          </w:tcPr>
          <w:p>
            <w:r/>
            <w:r>
              <w:rPr>
                <w:sz w:val="19"/>
              </w:rPr>
              <w:t>2</w:t>
            </w:r>
          </w:p>
        </w:tc>
        <w:tc>
          <w:tcPr>
            <w:tcW w:type="dxa" w:w="2268"/>
          </w:tcPr>
          <w:p>
            <w:r/>
            <w:r>
              <w:rPr>
                <w:sz w:val="19"/>
              </w:rPr>
              <w:t>A (1)</w:t>
            </w:r>
          </w:p>
        </w:tc>
        <w:tc>
          <w:tcPr>
            <w:tcW w:type="dxa" w:w="2551"/>
          </w:tcPr>
          <w:p>
            <w:r/>
            <w:r>
              <w:rPr>
                <w:sz w:val="19"/>
              </w:rPr>
              <w:t>68</w:t>
            </w:r>
          </w:p>
        </w:tc>
        <w:tc>
          <w:tcPr>
            <w:tcW w:type="dxa" w:w="2098"/>
          </w:tcPr>
          <w:p>
            <w:r/>
            <w:r>
              <w:rPr>
                <w:sz w:val="19"/>
              </w:rPr>
              <w:t>Good</w:t>
            </w:r>
          </w:p>
        </w:tc>
      </w:tr>
    </w:tbl>
    <w:p/>
    <w:p>
      <w:pPr>
        <w:jc w:val="both"/>
      </w:pPr>
      <w:r>
        <w:rPr>
          <w:b w:val="0"/>
          <w:i w:val="0"/>
        </w:rPr>
        <w:t>Point B (2) has the highest suitability (68 out of 100, good) and is the recommended drilling target. Driven by about 72 m of interpreted water-bearing thickness (thick); resistivities near the edge of the productive window.</w:t>
      </w:r>
    </w:p>
    <w:p>
      <w:pPr>
        <w:jc w:val="center"/>
      </w:pPr>
      <w:r>
        <w:drawing>
          <wp:inline xmlns:a="http://schemas.openxmlformats.org/drawingml/2006/main" xmlns:pic="http://schemas.openxmlformats.org/drawingml/2006/picture">
            <wp:extent cx="5400000" cy="4161228"/>
            <wp:docPr id="9" name="Picture 9"/>
            <wp:cNvGraphicFramePr>
              <a:graphicFrameLocks noChangeAspect="1"/>
            </wp:cNvGraphicFramePr>
            <a:graphic>
              <a:graphicData uri="http://schemas.openxmlformats.org/drawingml/2006/picture">
                <pic:pic>
                  <pic:nvPicPr>
                    <pic:cNvPr id="0" name="suitability_map_Rokel.png"/>
                    <pic:cNvPicPr/>
                  </pic:nvPicPr>
                  <pic:blipFill>
                    <a:blip r:embed="rId18"/>
                    <a:stretch>
                      <a:fillRect/>
                    </a:stretch>
                  </pic:blipFill>
                  <pic:spPr>
                    <a:xfrm>
                      <a:off x="0" y="0"/>
                      <a:ext cx="5400000" cy="4161228"/>
                    </a:xfrm>
                    <a:prstGeom prst="rect"/>
                  </pic:spPr>
                </pic:pic>
              </a:graphicData>
            </a:graphic>
          </wp:inline>
        </w:drawing>
      </w:r>
    </w:p>
    <w:p>
      <w:pPr>
        <w:jc w:val="center"/>
      </w:pPr>
      <w:r>
        <w:rPr>
          <w:b/>
          <w:sz w:val="18"/>
        </w:rPr>
        <w:t>Figure 9. Drill-target suitability of the surveyed points; greener is more suitable. The interpolated surface is blanked outside the ground the survey covered, except where the points lie on one line and enclose no area - the figure says so on its own face when that happens.</w:t>
      </w:r>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6. Limitations and Uncertainty</w:t>
      </w:r>
    </w:p>
    <w:p>
      <w:pPr>
        <w:pStyle w:val="ListBullet"/>
      </w:pPr>
      <w:r>
        <w:t>The fitted models reproduce the measured apparent resistivities to within 26.8 percent (ERR); a larger misfit means a less certain model.</w:t>
      </w:r>
    </w:p>
    <w:p>
      <w:pPr>
        <w:pStyle w:val="ListBullet"/>
      </w:pPr>
      <w:r>
        <w:t>Resistivity models are not unique: different layered models can fit the same sounding curve almost equally well (the equivalence and suppression problem), so the interpreted layer depths and thicknesses carry an uncertainty of the order of plus or minus 20 percent.</w:t>
      </w:r>
    </w:p>
    <w:p>
      <w:pPr>
        <w:pStyle w:val="ListBullet"/>
      </w:pPr>
      <w:r>
        <w:t>A low resistivity layer can represent either a saturated, water bearing zone or a conductive clay; the interpretation is made from the geological context and must be confirmed by drilling.</w:t>
      </w:r>
    </w:p>
    <w:p>
      <w:pPr>
        <w:pStyle w:val="ListBullet"/>
      </w:pPr>
      <w:r>
        <w:t>The depth of investigation is limited to roughly the maximum electrode spacing, so any structure below the deepest reliable depth is not resolved.</w:t>
      </w:r>
    </w:p>
    <w:p>
      <w:pPr>
        <w:pStyle w:val="ListBullet"/>
      </w:pPr>
      <w:r>
        <w:t>The survey indicates groundwater potential only. The actual yield and water quality can be confirmed only by test drilling, test pumping and laboratory analysis.</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W).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20.7 km apart, which is unusually far for one site; check the coordinates.</w:t>
      </w:r>
    </w:p>
    <w:p>
      <w:pPr>
        <w:pStyle w:val="Heading1"/>
      </w:pPr>
      <w:r>
        <w:t>References</w:t>
      </w:r>
    </w:p>
    <w:p>
      <w:pPr>
        <w:spacing w:after="80"/>
        <w:ind w:left="454" w:hanging="454"/>
      </w:pPr>
      <w:r>
        <w:t>Ministry of Water Resources and SALWACO (2017). Geology of Sierra Leone. Freetown.</w:t>
      </w:r>
    </w:p>
    <w:p>
      <w:pPr>
        <w:spacing w:after="80"/>
        <w:ind w:left="454" w:hanging="454"/>
      </w:pPr>
      <w:r>
        <w:t>United States Geological Survey (1997). Geologic Map of Africa, Open-File Report 97-470A. Public domain, 1:5,000,000.</w:t>
      </w:r>
    </w:p>
    <w:p>
      <w:pPr>
        <w:spacing w:after="80"/>
        <w:ind w:left="454" w:hanging="454"/>
      </w:pPr>
      <w:r>
        <w:t>British Geological Survey. 2019/2021. Africa Groundwater Atlas Country Hydrogeology Maps. Africa Groundwater Atlas (https://www2.bgs.ac.uk/africagroundwateratlas/index.cfm). Licensed CC BY-SA 4.0.</w:t>
      </w:r>
    </w:p>
    <w:p>
      <w:pPr>
        <w:spacing w:after="80"/>
        <w:ind w:left="454" w:hanging="454"/>
      </w:pPr>
      <w:r>
        <w:t>Ó Dochartaigh, B. (2021). User Guide Version 1.2: Africa Groundwater Atlas Country Hydrogeology Maps. British Geological Survey Open Report OR/21/063.</w:t>
      </w:r>
    </w:p>
    <w:p>
      <w:pPr>
        <w:spacing w:after="80"/>
        <w:ind w:left="454" w:hanging="454"/>
      </w:pPr>
      <w:r>
        <w:t>Runfola, D. et al. (2020). geoBoundaries: A global database of political administrative boundaries. PLoS ONE, 15(4). Licensed CC BY 4.0.</w:t>
      </w:r>
    </w:p>
    <w:p>
      <w:pPr>
        <w:spacing w:after="80"/>
        <w:ind w:left="454" w:hanging="454"/>
      </w:pPr>
      <w:r>
        <w:t>Niwas, S. and Singhal, D.C. (1981). Estimation of aquifer transmissivity from Dar-Zarrouk parameters in porous media. Journal of Hydrology, 50, 393-399.</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