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B (2) is recommended as the preferred drilling location, to a depth of about 80 m. The most promising water bearing zone at the preferred point lies between 8 m to 80 m.</w:t>
      </w:r>
    </w:p>
    <w:p>
      <w:r>
        <w:rPr>
          <w:b/>
          <w:i w:val="0"/>
        </w:rPr>
        <w:t>Key findings:</w:t>
      </w:r>
    </w:p>
    <w:p>
      <w:pPr>
        <w:pStyle w:val="ListBullet"/>
      </w:pPr>
      <w:r>
        <w:t>Preferred drilling point: B (2).</w:t>
      </w:r>
    </w:p>
    <w:p>
      <w:pPr>
        <w:pStyle w:val="ListBullet"/>
      </w:pPr>
      <w:r>
        <w:t>Recommended drilling depth: about 80 m.</w:t>
      </w:r>
    </w:p>
    <w:p>
      <w:pPr>
        <w:pStyle w:val="ListBullet"/>
      </w:pPr>
      <w:r>
        <w:t>Target water zone(s): 8 m to 80 m.</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156797"/>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156797"/>
                    </a:xfrm>
                    <a:prstGeom prst="rect"/>
                  </pic:spPr>
                </pic:pic>
              </a:graphicData>
            </a:graphic>
          </wp:inline>
        </w:drawing>
      </w:r>
    </w:p>
    <w:p>
      <w:pPr>
        <w:jc w:val="center"/>
      </w:pPr>
      <w:r>
        <w:rPr>
          <w:b/>
          <w:sz w:val="18"/>
        </w:rPr>
        <w:t>Figure 1. Study area at Rokel, with the survey points and its location in Sierra Leone inset. Boundaries from geoBoundaries (CC BY 4.0).</w:t>
      </w:r>
    </w:p>
    <w:p>
      <w:pPr>
        <w:jc w:val="center"/>
      </w:pPr>
      <w:r>
        <w:drawing>
          <wp:inline xmlns:a="http://schemas.openxmlformats.org/drawingml/2006/main" xmlns:pic="http://schemas.openxmlformats.org/drawingml/2006/picture">
            <wp:extent cx="5400000" cy="533477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334771"/>
                    </a:xfrm>
                    <a:prstGeom prst="rect"/>
                  </pic:spPr>
                </pic:pic>
              </a:graphicData>
            </a:graphic>
          </wp:inline>
        </w:drawing>
      </w:r>
    </w:p>
    <w:p>
      <w:pPr>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602999"/>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602999"/>
                    </a:xfrm>
                    <a:prstGeom prst="rect"/>
                  </pic:spPr>
                </pic:pic>
              </a:graphicData>
            </a:graphic>
          </wp:inline>
        </w:drawing>
      </w:r>
    </w:p>
    <w:p>
      <w:pPr>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52628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526283"/>
                    </a:xfrm>
                    <a:prstGeom prst="rect"/>
                  </pic:spPr>
                </pic:pic>
              </a:graphicData>
            </a:graphic>
          </wp:inline>
        </w:drawing>
      </w:r>
    </w:p>
    <w:p>
      <w:pPr>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806299"/>
                    </a:xfrm>
                    <a:prstGeom prst="rect"/>
                  </pic:spPr>
                </pic:pic>
              </a:graphicData>
            </a:graphic>
          </wp:inline>
        </w:drawing>
      </w:r>
    </w:p>
    <w:p>
      <w:pPr>
        <w:jc w:val="center"/>
      </w:pPr>
      <w:r>
        <w:rPr>
          <w:b/>
          <w:sz w:val="18"/>
        </w:rPr>
        <w:t>Figure 5. Schlumberger array VES curve and model at point A (1).</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pseudosection_Rokel_A_1.png"/>
                    <pic:cNvPicPr/>
                  </pic:nvPicPr>
                  <pic:blipFill>
                    <a:blip r:embed="rId15"/>
                    <a:stretch>
                      <a:fillRect/>
                    </a:stretch>
                  </pic:blipFill>
                  <pic:spPr>
                    <a:xfrm>
                      <a:off x="0" y="0"/>
                      <a:ext cx="5400000" cy="4280861"/>
                    </a:xfrm>
                    <a:prstGeom prst="rect"/>
                  </pic:spPr>
                </pic:pic>
              </a:graphicData>
            </a:graphic>
          </wp:inline>
        </w:drawing>
      </w:r>
    </w:p>
    <w:p>
      <w:pPr>
        <w:jc w:val="center"/>
      </w:pPr>
      <w:r>
        <w:rPr>
          <w:b/>
          <w:sz w:val="18"/>
        </w:rPr>
        <w:t>Figure 6.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3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806299"/>
                    </a:xfrm>
                    <a:prstGeom prst="rect"/>
                  </pic:spPr>
                </pic:pic>
              </a:graphicData>
            </a:graphic>
          </wp:inline>
        </w:drawing>
      </w:r>
    </w:p>
    <w:p>
      <w:pPr>
        <w:jc w:val="center"/>
      </w:pPr>
      <w:r>
        <w:rPr>
          <w:b/>
          <w:sz w:val="18"/>
        </w:rPr>
        <w:t>Figure 7. Schlumberger array VES curve and model at point B (2).</w:t>
      </w:r>
    </w:p>
    <w:p>
      <w:r>
        <w:rPr>
          <w:b/>
          <w:sz w:val="18"/>
        </w:rPr>
        <w:t>Table 4.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pseudosection_Rokel_B_2.png"/>
                    <pic:cNvPicPr/>
                  </pic:nvPicPr>
                  <pic:blipFill>
                    <a:blip r:embed="rId17"/>
                    <a:stretch>
                      <a:fillRect/>
                    </a:stretch>
                  </pic:blipFill>
                  <pic:spPr>
                    <a:xfrm>
                      <a:off x="0" y="0"/>
                      <a:ext cx="5400000" cy="4280861"/>
                    </a:xfrm>
                    <a:prstGeom prst="rect"/>
                  </pic:spPr>
                </pic:pic>
              </a:graphicData>
            </a:graphic>
          </wp:inline>
        </w:drawing>
      </w:r>
    </w:p>
    <w:p>
      <w:pPr>
        <w:jc w:val="center"/>
      </w:pPr>
      <w:r>
        <w:rPr>
          <w:b/>
          <w:sz w:val="18"/>
        </w:rPr>
        <w:t>Figure 8.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6. Drill-target suitability of the surveyed 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fill="1F5C8B"/>
          </w:tcPr>
          <w:p>
            <w:r/>
            <w:r>
              <w:rPr>
                <w:b/>
                <w:color w:val="FFFFFF"/>
                <w:sz w:val="19"/>
              </w:rPr>
              <w:t>Rank</w:t>
            </w:r>
          </w:p>
        </w:tc>
        <w:tc>
          <w:tcPr>
            <w:tcW w:type="dxa" w:w="2268"/>
            <w:shd w:val="clear" w:fill="1F5C8B"/>
          </w:tcPr>
          <w:p>
            <w:r/>
            <w:r>
              <w:rPr>
                <w:b/>
                <w:color w:val="FFFFFF"/>
                <w:sz w:val="19"/>
              </w:rPr>
              <w:t>VES point</w:t>
            </w:r>
          </w:p>
        </w:tc>
        <w:tc>
          <w:tcPr>
            <w:tcW w:type="dxa" w:w="2551"/>
            <w:shd w:val="clear" w:fill="1F5C8B"/>
          </w:tcPr>
          <w:p>
            <w:r/>
            <w:r>
              <w:rPr>
                <w:b/>
                <w:color w:val="FFFFFF"/>
                <w:sz w:val="19"/>
              </w:rPr>
              <w:t>Suitability (0 to 100)</w:t>
            </w:r>
          </w:p>
        </w:tc>
        <w:tc>
          <w:tcPr>
            <w:tcW w:type="dxa" w:w="2098"/>
            <w:shd w:val="clear" w:fill="1F5C8B"/>
          </w:tcPr>
          <w:p>
            <w:r/>
            <w:r>
              <w:rPr>
                <w:b/>
                <w:color w:val="FFFFFF"/>
                <w:sz w:val="19"/>
              </w:rPr>
              <w:t>Grade</w:t>
            </w:r>
          </w:p>
        </w:tc>
      </w:tr>
      <w:tr>
        <w:tc>
          <w:tcPr>
            <w:tcW w:type="dxa" w:w="1020"/>
          </w:tcPr>
          <w:p>
            <w:r/>
            <w:r>
              <w:rPr>
                <w:sz w:val="19"/>
              </w:rPr>
              <w:t>1</w:t>
            </w:r>
          </w:p>
        </w:tc>
        <w:tc>
          <w:tcPr>
            <w:tcW w:type="dxa" w:w="2268"/>
          </w:tcPr>
          <w:p>
            <w:r/>
            <w:r>
              <w:rPr>
                <w:sz w:val="19"/>
              </w:rPr>
              <w:t>B (2)</w:t>
            </w:r>
          </w:p>
        </w:tc>
        <w:tc>
          <w:tcPr>
            <w:tcW w:type="dxa" w:w="2551"/>
          </w:tcPr>
          <w:p>
            <w:r/>
            <w:r>
              <w:rPr>
                <w:sz w:val="19"/>
              </w:rPr>
              <w:t>68</w:t>
            </w:r>
          </w:p>
        </w:tc>
        <w:tc>
          <w:tcPr>
            <w:tcW w:type="dxa" w:w="2098"/>
          </w:tcPr>
          <w:p>
            <w:r/>
            <w:r>
              <w:rPr>
                <w:sz w:val="19"/>
              </w:rPr>
              <w:t>Good</w:t>
            </w:r>
          </w:p>
        </w:tc>
      </w:tr>
      <w:tr>
        <w:tc>
          <w:tcPr>
            <w:tcW w:type="dxa" w:w="1020"/>
          </w:tcPr>
          <w:p>
            <w:r/>
            <w:r>
              <w:rPr>
                <w:sz w:val="19"/>
              </w:rPr>
              <w:t>2</w:t>
            </w:r>
          </w:p>
        </w:tc>
        <w:tc>
          <w:tcPr>
            <w:tcW w:type="dxa" w:w="2268"/>
          </w:tcPr>
          <w:p>
            <w:r/>
            <w:r>
              <w:rPr>
                <w:sz w:val="19"/>
              </w:rPr>
              <w:t>A (1)</w:t>
            </w:r>
          </w:p>
        </w:tc>
        <w:tc>
          <w:tcPr>
            <w:tcW w:type="dxa" w:w="2551"/>
          </w:tcPr>
          <w:p>
            <w:r/>
            <w:r>
              <w:rPr>
                <w:sz w:val="19"/>
              </w:rPr>
              <w:t>68</w:t>
            </w:r>
          </w:p>
        </w:tc>
        <w:tc>
          <w:tcPr>
            <w:tcW w:type="dxa" w:w="2098"/>
          </w:tcPr>
          <w:p>
            <w:r/>
            <w:r>
              <w:rPr>
                <w:sz w:val="19"/>
              </w:rPr>
              <w:t>Good</w:t>
            </w:r>
          </w:p>
        </w:tc>
      </w:tr>
    </w:tbl>
    <w:p/>
    <w:p>
      <w:pPr>
        <w:jc w:val="both"/>
      </w:pPr>
      <w:r>
        <w:rPr>
          <w:b w:val="0"/>
          <w:i w:val="0"/>
        </w:rPr>
        <w:t>Point B (2) has the highest suitability (68 out of 100, good) and is the recommended drilling target. Driven by about 72 m of interpreted water-bearing thickness (thick); resistivities near the edge of the productive window.</w:t>
      </w:r>
    </w:p>
    <w:p>
      <w:pPr>
        <w:jc w:val="center"/>
      </w:pPr>
      <w:r>
        <w:drawing>
          <wp:inline xmlns:a="http://schemas.openxmlformats.org/drawingml/2006/main" xmlns:pic="http://schemas.openxmlformats.org/drawingml/2006/picture">
            <wp:extent cx="5400000" cy="4161228"/>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61228"/>
                    </a:xfrm>
                    <a:prstGeom prst="rect"/>
                  </pic:spPr>
                </pic:pic>
              </a:graphicData>
            </a:graphic>
          </wp:inline>
        </w:drawing>
      </w:r>
    </w:p>
    <w:p>
      <w:pPr>
        <w:jc w:val="center"/>
      </w:pPr>
      <w:r>
        <w:rPr>
          <w:b/>
          <w:sz w:val="18"/>
        </w:rPr>
        <w:t>Figure 9. Drill-target suitability of the surveyed points; greener is more suitable. The interpolated surface is blanked outside the ground the survey covered, except where the points lie on one line and enclose no area - the figure says so on its own face when that happens.</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The depth of investigation is limited to roughly the maximum electrode spacing, so any structure below the deepest reliable depth is not resolved.</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