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pPr>
        <w:jc w:val="center"/>
      </w:pPr>
      <w:r>
        <w:rPr>
          <w:b/>
        </w:rPr>
        <w:t xml:space="preserve">Prepared by: </w:t>
      </w:r>
      <w:r>
        <w:t>A. N. Geologist</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Recommended drilling depth: at least 40 m.</w:t>
      </w:r>
    </w:p>
    <w:p>
      <w:pPr>
        <w:pStyle w:val="ListBullet"/>
      </w:pPr>
      <w:r>
        <w:t>Target water zone(s):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project area lies within the Freetown Basic Complex. The Freetown Complex is a layered gabbroic anorthosite intrusion emplaced against gneisses and schists of the Kasila Group, and it forms part of the Peninsula and Banana Islands. It is thought to have been formed by multiple injections of magma that occurred intermittently. Groundwater potential within the Freetown Basic Complex is found within weathered and fractured zones of these igneous (crystalline) rocks. Groundwater quality and quantity can be high if the borehole is properly located through appropriate hydrogeological and geophysical investigations.</w:t>
      </w:r>
    </w:p>
    <w:p>
      <w:pPr>
        <w:jc w:val="center"/>
      </w:pPr>
      <w:r>
        <w:drawing>
          <wp:inline xmlns:a="http://schemas.openxmlformats.org/drawingml/2006/main" xmlns:pic="http://schemas.openxmlformats.org/drawingml/2006/picture">
            <wp:extent cx="5400000" cy="5156797"/>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156797"/>
                    </a:xfrm>
                    <a:prstGeom prst="rect"/>
                  </pic:spPr>
                </pic:pic>
              </a:graphicData>
            </a:graphic>
          </wp:inline>
        </w:drawing>
      </w:r>
    </w:p>
    <w:p>
      <w:pPr>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334771"/>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334771"/>
                    </a:xfrm>
                    <a:prstGeom prst="rect"/>
                  </pic:spPr>
                </pic:pic>
              </a:graphicData>
            </a:graphic>
          </wp:inline>
        </w:drawing>
      </w:r>
    </w:p>
    <w:p>
      <w:pPr>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718612"/>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718612"/>
                    </a:xfrm>
                    <a:prstGeom prst="rect"/>
                  </pic:spPr>
                </pic:pic>
              </a:graphicData>
            </a:graphic>
          </wp:inline>
        </w:drawing>
      </w:r>
    </w:p>
    <w:p>
      <w:pPr>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713812"/>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713812"/>
                    </a:xfrm>
                    <a:prstGeom prst="rect"/>
                  </pic:spPr>
                </pic:pic>
              </a:graphicData>
            </a:graphic>
          </wp:inline>
        </w:drawing>
      </w:r>
    </w:p>
    <w:p>
      <w:pPr>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The aim of the reconnaissance survey was to select suitable points for the geophysical survey. Existing water points, environmental and other physical conditions were also assessed. The field reconnaissance survey was conducted on 8th December, 2015.</w:t>
      </w:r>
    </w:p>
    <w:p>
      <w:r>
        <w:rPr>
          <w:b/>
          <w:i w:val="0"/>
        </w:rPr>
        <w:t>Geomorphological survey of the area</w:t>
      </w:r>
    </w:p>
    <w:p>
      <w:pPr>
        <w:jc w:val="both"/>
      </w:pPr>
      <w:r>
        <w:rPr>
          <w:b w:val="0"/>
          <w:i w:val="0"/>
        </w:rPr>
        <w:t>The landscape and other physical features of the area were examined, including slopes, drainage lines and streams, since there is normally hydraulic continuity between groundwater and surface water.</w:t>
      </w:r>
    </w:p>
    <w:p>
      <w:r>
        <w:rPr>
          <w:b/>
          <w:i w:val="0"/>
        </w:rPr>
        <w:t>Geological and hydrogeological survey to determine the formation of the area and identify possible features</w:t>
      </w:r>
    </w:p>
    <w:p>
      <w:pPr>
        <w:jc w:val="both"/>
      </w:pPr>
      <w:r>
        <w:rPr>
          <w:b w:val="0"/>
          <w:i w:val="0"/>
        </w:rPr>
        <w:t>The weathered products overlying the bedrock were assessed as the principal prospect for groundwater, since groundwater occurs mostly in weathered and unconsolidated materials compared with consolidated and crystalline rocks.</w:t>
      </w:r>
    </w:p>
    <w:p>
      <w:r>
        <w:rPr>
          <w:b/>
          <w:i w:val="0"/>
        </w:rPr>
        <w:t>Selection of traverse line for the geophysical survey</w:t>
      </w:r>
    </w:p>
    <w:p>
      <w:pPr>
        <w:jc w:val="both"/>
      </w:pPr>
      <w:r>
        <w:rPr>
          <w:b w:val="0"/>
          <w:i w:val="0"/>
        </w:rPr>
        <w:t>The traverse line for the resistivity survey was selected on the basis of geomorphologic and geological/hydrogeological features as well as the location of the project area. Points for the vertical electrical soundings were selected considering the available space and the environmental and other physical conditions, and the proposed borehole locations were marked with pegs for identification.</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Resistivity Profiling</w:t>
      </w:r>
    </w:p>
    <w:p>
      <w:pPr>
        <w:jc w:val="both"/>
      </w:pPr>
      <w:r>
        <w:rPr>
          <w:b w:val="0"/>
          <w:i w:val="0"/>
        </w:rPr>
        <w:t>Electrical resistivity profiling is usually carried out along a selected traverse of 50 m to 100 m length at 10 m intervals to determine the lateral variation of subsurface resistivities and delineate anomalous points with groundwater potential. Where the available land extent does not permit profiling, the vertical electrical soundings are carried out at the selected points directly.</w:t>
      </w:r>
    </w:p>
    <w:p>
      <w:pPr>
        <w:pStyle w:val="Heading3"/>
      </w:pPr>
      <w:r>
        <w:t>3.2.2 Selection of VES Points</w:t>
      </w:r>
    </w:p>
    <w:p>
      <w:pPr>
        <w:jc w:val="both"/>
      </w:pPr>
      <w:r>
        <w:rPr>
          <w:b w:val="0"/>
          <w:i w:val="0"/>
        </w:rPr>
        <w:t>2 vertical electrical sounding point(s) were selected based on the available space and the location of the project area, considering geological, hydrogeological and environmental conditions. The points are labelled A (1), B (2) in this report.</w:t>
      </w:r>
    </w:p>
    <w:p>
      <w:pPr>
        <w:pStyle w:val="Heading3"/>
      </w:pPr>
      <w:r>
        <w:t>3.2.3 Vertical Electrical Sounding (VES)</w:t>
      </w:r>
    </w:p>
    <w:p>
      <w:pPr>
        <w:jc w:val="both"/>
      </w:pPr>
      <w:r>
        <w:rPr>
          <w:b w:val="0"/>
          <w:i w:val="0"/>
        </w:rPr>
        <w:t>Vertical electrical soundings were carried out with the aim of determining the formation resistivities and the depth to bedrock, as well as the possibility of finding water bearing fractures or aquifers at depth with their corresponding thicknesses. The Schlumberger electrode configuration and the required procedures were used for the soundings.</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7570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75701"/>
                    </a:xfrm>
                    <a:prstGeom prst="rect"/>
                  </pic:spPr>
                </pic:pic>
              </a:graphicData>
            </a:graphic>
          </wp:inline>
        </w:drawing>
      </w:r>
    </w:p>
    <w:p>
      <w:pPr>
        <w:jc w:val="center"/>
      </w:pPr>
      <w:r>
        <w:rPr>
          <w:b/>
          <w:sz w:val="18"/>
        </w:rPr>
        <w:t>Figure 5. Schlumberger array VES curve and model at point A (1). The dashed line is the IPI2Win model (as reported). The model panel is drawn to the depth of investigation (40 m).</w:t>
      </w:r>
    </w:p>
    <w:p>
      <w:r>
        <w:rPr>
          <w:b/>
          <w:sz w:val="18"/>
        </w:rPr>
        <w:t>Table 2. Layered earth model at point A (1) (curve type K, ERR = 13.3%).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r>
        <w:rPr>
          <w:b/>
          <w:sz w:val="18"/>
        </w:rPr>
        <w:t>Table 3.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4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r>
        <w:rPr>
          <w:b/>
          <w:sz w:val="18"/>
        </w:rPr>
        <w:t>Table 4.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45763"/>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45763"/>
                    </a:xfrm>
                    <a:prstGeom prst="rect"/>
                  </pic:spPr>
                </pic:pic>
              </a:graphicData>
            </a:graphic>
          </wp:inline>
        </w:drawing>
      </w:r>
    </w:p>
    <w:p>
      <w:pPr>
        <w:jc w:val="center"/>
      </w:pPr>
      <w:r>
        <w:rPr>
          <w:b/>
          <w:sz w:val="18"/>
        </w:rPr>
        <w:t>Figure 7. Schlumberger array VES curve and model at point B (2). The dashed line is the IPI2Win model (as reported). The model panel is drawn to the depth of investigation (40 m).</w:t>
      </w:r>
    </w:p>
    <w:p>
      <w:r>
        <w:rPr>
          <w:b/>
          <w:sz w:val="18"/>
        </w:rPr>
        <w:t>Table 5. Layered earth model at point B (2) (curve type 2-layer descending, ERR = 26.8%).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0/0</w:t>
            </w:r>
          </w:p>
        </w:tc>
      </w:tr>
      <w:tr>
        <w:tc>
          <w:tcPr>
            <w:tcW w:type="dxa" w:w="680"/>
          </w:tcPr>
          <w:p>
            <w:r/>
            <w:r>
              <w:rPr>
                <w:sz w:val="19"/>
              </w:rPr>
              <w:t>2</w:t>
            </w:r>
          </w:p>
        </w:tc>
        <w:tc>
          <w:tcPr>
            <w:tcW w:type="dxa" w:w="2608"/>
          </w:tcPr>
          <w:p>
            <w:r/>
            <w:r>
              <w:rPr>
                <w:sz w:val="19"/>
              </w:rPr>
              <w:t>49.97 (x/ 1.2)</w:t>
            </w:r>
          </w:p>
        </w:tc>
        <w:tc>
          <w:tcPr>
            <w:tcW w:type="dxa" w:w="1928"/>
          </w:tcPr>
          <w:p>
            <w:r/>
            <w:r>
              <w:rPr>
                <w:sz w:val="19"/>
              </w:rPr>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r>
        <w:rPr>
          <w:b/>
          <w:sz w:val="18"/>
        </w:rPr>
        <w:t>Table 6.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r>
        <w:rPr>
          <w:b/>
          <w:sz w:val="18"/>
        </w:rPr>
        <w:t>Table 7.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r>
        <w:rPr>
          <w:b/>
          <w:sz w:val="18"/>
        </w:rPr>
        <w:t>Table 8.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jc w:val="center"/>
      </w:pPr>
      <w:r>
        <w:drawing>
          <wp:inline xmlns:a="http://schemas.openxmlformats.org/drawingml/2006/main" xmlns:pic="http://schemas.openxmlformats.org/drawingml/2006/picture">
            <wp:extent cx="5400000" cy="4180944"/>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80944"/>
                    </a:xfrm>
                    <a:prstGeom prst="rect"/>
                  </pic:spPr>
                </pic:pic>
              </a:graphicData>
            </a:graphic>
          </wp:inline>
        </w:drawing>
      </w:r>
    </w:p>
    <w:p>
      <w:pPr>
        <w:jc w:val="center"/>
      </w:pPr>
      <w:r>
        <w:rPr>
          <w:b/>
          <w:sz w:val="18"/>
        </w:rPr>
        <w:t>Figure 9. Drill-target suitability of the surveyed points, coloured by the confidence-weighted score; greener is more suitable.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 Each interpolated surface is blanked outside the ground the soundings enclose: a contour beyond the last peg is the interpolator continuing a trend, and a borehole gets sited on it.</w:t>
      </w:r>
    </w:p>
    <w:p>
      <w:pPr>
        <w:jc w:val="center"/>
      </w:pPr>
      <w:r>
        <w:drawing>
          <wp:inline xmlns:a="http://schemas.openxmlformats.org/drawingml/2006/main" xmlns:pic="http://schemas.openxmlformats.org/drawingml/2006/picture">
            <wp:extent cx="5400000" cy="4180944"/>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4180944"/>
                    </a:xfrm>
                    <a:prstGeom prst="rect"/>
                  </pic:spPr>
                </pic:pic>
              </a:graphicData>
            </a:graphic>
          </wp:inline>
        </w:drawing>
      </w:r>
    </w:p>
    <w:p>
      <w:pPr>
        <w:jc w:val="center"/>
      </w:pPr>
      <w:r>
        <w:rPr>
          <w:b/>
          <w:sz w:val="18"/>
        </w:rPr>
        <w:t>Figure 10. Protective capacity of the cover over the aquifer, from the longitudinal conductance of the overlying layers. It rates how well the ground above the aquifer resists downward contamination; it says nothing about yield.</w:t>
      </w:r>
    </w:p>
    <w:p>
      <w:pPr>
        <w:jc w:val="center"/>
      </w:pPr>
      <w:r>
        <w:drawing>
          <wp:inline xmlns:a="http://schemas.openxmlformats.org/drawingml/2006/main" xmlns:pic="http://schemas.openxmlformats.org/drawingml/2006/picture">
            <wp:extent cx="5400000" cy="2758306"/>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58306"/>
                    </a:xfrm>
                    <a:prstGeom prst="rect"/>
                  </pic:spPr>
                </pic:pic>
              </a:graphicData>
            </a:graphic>
          </wp:inline>
        </w:drawing>
      </w:r>
    </w:p>
    <w:p>
      <w:pPr>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Depth to bedrock map: a depth to bedrock map needs at least 3 soundings that carry both a position and the value; 0 do. Record the GPS position of every sounding on the field sheet.</w:t>
      </w:r>
    </w:p>
    <w:p>
      <w:pPr>
        <w:pStyle w:val="ListBullet"/>
      </w:pPr>
      <w:r>
        <w:t>Aquifer thickness map: an aquifer thickness map needs at least 3 soundings that carry both a position and the value; 2 do. Record the GPS position of every sounding on the field sheet.</w:t>
      </w:r>
    </w:p>
    <w:p>
      <w:pPr>
        <w:pStyle w:val="ListBullet"/>
      </w:pPr>
      <w:r>
        <w:t>Bedrock elevation map: a bedrock elevation map needs at least 3 soundings that carry both a position and the value; 0 do. Record the GPS position of every sounding on the field sheet.</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The point falls in Western Area Rural, Moyamba. District extents are approximate;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Geologist</w:t>
      </w:r>
    </w:p>
    <w:p>
      <w:r>
        <w:rPr>
          <w:b w:val="0"/>
          <w:i/>
        </w:rPr>
        <w:t>Geologist / Field Supervisor</w:t>
      </w:r>
    </w:p>
    <w:p>
      <w:r>
        <w:rPr>
          <w:b w:val="0"/>
          <w:i w:val="0"/>
        </w:rPr>
        <w:t>Cell: +232 00 000 000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