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0.97 m3/h at a pump setting of 39 m. The water requires treatment before drinking.</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3-12 m</w:t>
            </w:r>
          </w:p>
        </w:tc>
      </w:tr>
      <w:tr>
        <w:tc>
          <w:tcPr>
            <w:tcW w:type="dxa" w:w="4536"/>
          </w:tcPr>
          <w:p>
            <w:r/>
            <w:r>
              <w:rPr>
                <w:sz w:val="19"/>
              </w:rPr>
              <w:t>Sanitary seal</w:t>
            </w:r>
          </w:p>
        </w:tc>
        <w:tc>
          <w:tcPr>
            <w:tcW w:type="dxa" w:w="4536"/>
          </w:tcPr>
          <w:p>
            <w:r/>
            <w:r>
              <w:rPr>
                <w:sz w:val="19"/>
              </w:rPr>
              <w:t>0-3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bl>
    <w:p/>
    <w:p>
      <w:pPr>
        <w:jc w:val="center"/>
      </w:pPr>
      <w:r>
        <w:drawing>
          <wp:inline xmlns:a="http://schemas.openxmlformats.org/drawingml/2006/main" xmlns:pic="http://schemas.openxmlformats.org/drawingml/2006/picture">
            <wp:extent cx="4860000" cy="5032704"/>
            <wp:docPr id="1" name="Picture 1"/>
            <wp:cNvGraphicFramePr>
              <a:graphicFrameLocks noChangeAspect="1"/>
            </wp:cNvGraphicFramePr>
            <a:graphic>
              <a:graphicData uri="http://schemas.openxmlformats.org/drawingml/2006/picture">
                <pic:pic>
                  <pic:nvPicPr>
                    <pic:cNvPr id="0" name="borehole_design_BH-1.png"/>
                    <pic:cNvPicPr/>
                  </pic:nvPicPr>
                  <pic:blipFill>
                    <a:blip r:embed="rId10"/>
                    <a:stretch>
                      <a:fillRect/>
                    </a:stretch>
                  </pic:blipFill>
                  <pic:spPr>
                    <a:xfrm>
                      <a:off x="0" y="0"/>
                      <a:ext cx="4860000" cy="5032704"/>
                    </a:xfrm>
                    <a:prstGeom prst="rect"/>
                  </pic:spPr>
                </pic:pic>
              </a:graphicData>
            </a:graphic>
          </wp:inline>
        </w:drawing>
      </w:r>
    </w:p>
    <w:p>
      <w:pPr>
        <w:jc w:val="center"/>
      </w:pPr>
      <w:r>
        <w:rPr>
          <w:b/>
          <w:sz w:val="18"/>
        </w:rPr>
        <w:t>Figure 1.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3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2" name="Picture 2"/>
            <wp:cNvGraphicFramePr>
              <a:graphicFrameLocks noChangeAspect="1"/>
            </wp:cNvGraphicFramePr>
            <a:graphic>
              <a:graphicData uri="http://schemas.openxmlformats.org/drawingml/2006/picture">
                <pic:pic>
                  <pic:nvPicPr>
                    <pic:cNvPr id="0" name="test_overview_BH-1.png"/>
                    <pic:cNvPicPr/>
                  </pic:nvPicPr>
                  <pic:blipFill>
                    <a:blip r:embed="rId11"/>
                    <a:stretch>
                      <a:fillRect/>
                    </a:stretch>
                  </pic:blipFill>
                  <pic:spPr>
                    <a:xfrm>
                      <a:off x="0" y="0"/>
                      <a:ext cx="5400000" cy="2702179"/>
                    </a:xfrm>
                    <a:prstGeom prst="rect"/>
                  </pic:spPr>
                </pic:pic>
              </a:graphicData>
            </a:graphic>
          </wp:inline>
        </w:drawing>
      </w:r>
    </w:p>
    <w:p>
      <w:pPr>
        <w:jc w:val="center"/>
      </w:pPr>
      <w:r>
        <w:rPr>
          <w:b/>
          <w:sz w:val="18"/>
        </w:rPr>
        <w:t>Figure 2.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39 m</w:t>
            </w: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0.97 m3/h (safety factor 1.5 applied to the long term yield).</w:t>
      </w:r>
    </w:p>
    <w:p>
      <w:pPr>
        <w:pStyle w:val="ListBullet"/>
      </w:pPr>
      <w:r>
        <w:t>The pump installation depth is 39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