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9A227"/>
          <w:sz w:val="20"/>
          <w:szCs w:val="20"/>
        </w:rPr>
        <w:t xml:space="preserve">ANALYSTLAB AFRICA</w:t>
      </w:r>
    </w:p>
    <w:p>
      <w:pPr>
        <w:pBdr>
          <w:bottom w:val="single" w:color="1F3864" w:sz="8" w:space="8"/>
        </w:pBdr>
        <w:spacing w:after="240"/>
        <w:jc w:val="center"/>
      </w:pPr>
      <w:r>
        <w:rPr>
          <w:b/>
          <w:bCs/>
          <w:color w:val="1F3864"/>
          <w:sz w:val="34"/>
          <w:szCs w:val="34"/>
        </w:rPr>
        <w:t xml:space="preserve">Project Continuity Summary</w:t>
      </w:r>
    </w:p>
    <w:p>
      <w:pPr>
        <w:spacing w:after="60"/>
        <w:jc w:val="center"/>
      </w:pPr>
      <w:r>
        <w:rPr>
          <w:i/>
          <w:iCs/>
          <w:color w:val="595959"/>
          <w:sz w:val="20"/>
          <w:szCs w:val="20"/>
        </w:rPr>
        <w:t xml:space="preserve">Week 3 — Advanced Data Analysis, KPI Development &amp; BI Dashboard</w:t>
      </w:r>
    </w:p>
    <w:p>
      <w:pPr>
        <w:spacing w:after="320"/>
        <w:jc w:val="center"/>
      </w:pPr>
      <w:r>
        <w:rPr>
          <w:color w:val="595959"/>
          <w:sz w:val="18"/>
          <w:szCs w:val="18"/>
        </w:rPr>
        <w:t xml:space="preserve">Prepared by: Moses Oluwatosin  |  AnalystLab Africa Consulting</w:t>
      </w:r>
    </w:p>
    <w:p>
      <w:pPr>
        <w:pStyle w:val="Heading1"/>
        <w:spacing w:after="150" w:before="300"/>
      </w:pPr>
      <w:r>
        <w:rPr>
          <w:b/>
          <w:bCs/>
          <w:color w:val="1F3864"/>
          <w:sz w:val="26"/>
          <w:szCs w:val="26"/>
        </w:rPr>
        <w:t xml:space="preserve">1. Dataset</w:t>
      </w:r>
    </w:p>
    <w:p>
      <w:pPr>
        <w:spacing w:after="160" w:line="276"/>
        <w:jc w:val="both"/>
      </w:pPr>
      <w:r>
        <w:rPr>
          <w:color w:val="262626"/>
          <w:sz w:val="22"/>
          <w:szCs w:val="22"/>
        </w:rPr>
        <w:t xml:space="preserve">This project continues to use the Superstore Sales Dataset, covering 9,994 individual retail orders placed between January 2014 and December 2017. The dataset includes order and shipping dates, customer segment, product category and sub-category, region and state, sales value, discount applied, quantity, and profit.</w:t>
      </w:r>
    </w:p>
    <w:p>
      <w:pPr>
        <w:pStyle w:val="Heading1"/>
        <w:spacing w:after="150" w:before="300"/>
      </w:pPr>
      <w:r>
        <w:rPr>
          <w:b/>
          <w:bCs/>
          <w:color w:val="1F3864"/>
          <w:sz w:val="26"/>
          <w:szCs w:val="26"/>
        </w:rPr>
        <w:t xml:space="preserve">2. Business Problem</w:t>
      </w:r>
    </w:p>
    <w:p>
      <w:pPr>
        <w:spacing w:after="160" w:line="276"/>
        <w:jc w:val="both"/>
      </w:pPr>
      <w:r>
        <w:rPr>
          <w:color w:val="262626"/>
          <w:sz w:val="22"/>
          <w:szCs w:val="22"/>
        </w:rPr>
        <w:t xml:space="preserve">AnalystLab Africa Consulting has been engaged by a national retail company to design an executive Business Intelligence dashboard that allows management to monitor sales performance, profitability, customer behavior, and regional performance, and to make informed, data-driven strategic decisions rather than relying on static, manually prepared reports.</w:t>
      </w:r>
    </w:p>
    <w:p>
      <w:pPr>
        <w:pStyle w:val="Heading1"/>
        <w:spacing w:after="150" w:before="300"/>
      </w:pPr>
      <w:r>
        <w:rPr>
          <w:b/>
          <w:bCs/>
          <w:color w:val="1F3864"/>
          <w:sz w:val="26"/>
          <w:szCs w:val="26"/>
        </w:rPr>
        <w:t xml:space="preserve">3. Key Findings from Week 2</w:t>
      </w:r>
    </w:p>
    <w:p>
      <w:pPr>
        <w:pStyle w:val="ListParagraph"/>
        <w:numPr>
          <w:ilvl w:val="0"/>
          <w:numId w:val="1"/>
        </w:numPr>
        <w:spacing w:after="90"/>
      </w:pPr>
      <w:r>
        <w:rPr>
          <w:color w:val="262626"/>
          <w:sz w:val="22"/>
          <w:szCs w:val="22"/>
        </w:rPr>
        <w:t xml:space="preserve">Technology (17.4% margin) and Office Supplies (17.0% margin) are the strongest-performing categories, while Furniture converts under 2.5% of its sales into profit despite generating comparable revenue.</w:t>
      </w:r>
    </w:p>
    <w:p>
      <w:pPr>
        <w:pStyle w:val="ListParagraph"/>
        <w:numPr>
          <w:ilvl w:val="0"/>
          <w:numId w:val="1"/>
        </w:numPr>
        <w:spacing w:after="90"/>
      </w:pPr>
      <w:r>
        <w:rPr>
          <w:color w:val="262626"/>
          <w:sz w:val="22"/>
          <w:szCs w:val="22"/>
        </w:rPr>
        <w:t xml:space="preserve">Tables (–8.6% margin) and Bookcases (–3.0% margin) are net loss-making sub-categories, and are the main drag on Furniture's overall performance.</w:t>
      </w:r>
    </w:p>
    <w:p>
      <w:pPr>
        <w:pStyle w:val="ListParagraph"/>
        <w:numPr>
          <w:ilvl w:val="0"/>
          <w:numId w:val="1"/>
        </w:numPr>
        <w:spacing w:after="90"/>
      </w:pPr>
      <w:r>
        <w:rPr>
          <w:color w:val="262626"/>
          <w:sz w:val="22"/>
          <w:szCs w:val="22"/>
        </w:rPr>
        <w:t xml:space="preserve">The West ($725,458 sales, 14.9% margin) and East (13.5% margin) regions outperform Central (7.9% margin) and South on both sales and profitability.</w:t>
      </w:r>
    </w:p>
    <w:p>
      <w:pPr>
        <w:pStyle w:val="ListParagraph"/>
        <w:numPr>
          <w:ilvl w:val="0"/>
          <w:numId w:val="1"/>
        </w:numPr>
        <w:spacing w:after="90"/>
      </w:pPr>
      <w:r>
        <w:rPr>
          <w:color w:val="262626"/>
          <w:sz w:val="22"/>
          <w:szCs w:val="22"/>
        </w:rPr>
        <w:t xml:space="preserve">Heavy discounting is associated with losses: orders discounted above 30% collectively lost the business a combined –$125,007.</w:t>
      </w:r>
    </w:p>
    <w:p>
      <w:pPr>
        <w:pStyle w:val="ListParagraph"/>
        <w:numPr>
          <w:ilvl w:val="0"/>
          <w:numId w:val="1"/>
        </w:numPr>
        <w:spacing w:after="90"/>
      </w:pPr>
      <w:r>
        <w:rPr>
          <w:color w:val="262626"/>
          <w:sz w:val="22"/>
          <w:szCs w:val="22"/>
        </w:rPr>
        <w:t xml:space="preserve">Home Office is the smallest customer segment by revenue but the most profitable per dollar sold (14.0% margin), ahead of Corporate (13.0%) and Consumer (11.5%).</w:t>
      </w:r>
    </w:p>
    <w:p>
      <w:pPr>
        <w:pStyle w:val="Heading1"/>
        <w:spacing w:after="150" w:before="300"/>
      </w:pPr>
      <w:r>
        <w:rPr>
          <w:b/>
          <w:bCs/>
          <w:color w:val="1F3864"/>
          <w:sz w:val="26"/>
          <w:szCs w:val="26"/>
        </w:rPr>
        <w:t xml:space="preserve">4. Areas to Investigate Further in Week 3</w:t>
      </w:r>
    </w:p>
    <w:p>
      <w:pPr>
        <w:spacing w:after="160" w:line="276"/>
        <w:jc w:val="both"/>
      </w:pPr>
      <w:r>
        <w:rPr>
          <w:color w:val="262626"/>
          <w:sz w:val="22"/>
          <w:szCs w:val="22"/>
        </w:rPr>
        <w:t xml:space="preserve">Building on these findings, Week 3 will go deeper in four areas the Week 2 analysis did not fully cover:</w:t>
      </w:r>
    </w:p>
    <w:p>
      <w:pPr>
        <w:pStyle w:val="ListParagraph"/>
        <w:numPr>
          <w:ilvl w:val="0"/>
          <w:numId w:val="1"/>
        </w:numPr>
        <w:spacing w:after="90"/>
      </w:pPr>
      <w:r>
        <w:rPr>
          <w:color w:val="262626"/>
          <w:sz w:val="22"/>
          <w:szCs w:val="22"/>
        </w:rPr>
        <w:t xml:space="preserve">Growth and time-based analysis: year-over-year Sales Growth % and Profit Growth %, monthly and quarterly performance, and seasonal patterns (Week 2 only used a single yearly trend line).</w:t>
      </w:r>
    </w:p>
    <w:p>
      <w:pPr>
        <w:pStyle w:val="ListParagraph"/>
        <w:numPr>
          <w:ilvl w:val="0"/>
          <w:numId w:val="1"/>
        </w:numPr>
        <w:spacing w:after="90"/>
      </w:pPr>
      <w:r>
        <w:rPr>
          <w:color w:val="262626"/>
          <w:sz w:val="22"/>
          <w:szCs w:val="22"/>
        </w:rPr>
        <w:t xml:space="preserve">Customer-level analysis: identifying top customers by sales and profit, and total customer count — not previously investigated at the individual customer level.</w:t>
      </w:r>
    </w:p>
    <w:p>
      <w:pPr>
        <w:pStyle w:val="ListParagraph"/>
        <w:numPr>
          <w:ilvl w:val="0"/>
          <w:numId w:val="1"/>
        </w:numPr>
        <w:spacing w:after="90"/>
      </w:pPr>
      <w:r>
        <w:rPr>
          <w:color w:val="262626"/>
          <w:sz w:val="22"/>
          <w:szCs w:val="22"/>
        </w:rPr>
        <w:t xml:space="preserve">Formal business problem investigation: quantifying exactly how the discount-profitability relationship behaves across discount bands, and identifying specific high-sales, low- or negative-margin products beyond the sub-category level.</w:t>
      </w:r>
    </w:p>
    <w:p>
      <w:pPr>
        <w:pStyle w:val="ListParagraph"/>
        <w:numPr>
          <w:ilvl w:val="0"/>
          <w:numId w:val="1"/>
        </w:numPr>
        <w:spacing w:after="90"/>
      </w:pPr>
      <w:r>
        <w:rPr>
          <w:color w:val="262626"/>
          <w:sz w:val="22"/>
          <w:szCs w:val="22"/>
        </w:rPr>
        <w:t xml:space="preserve">Expanded KPI and DAX documentation: growing from 5 KPIs to at least 6, and formally documenting 5+ DAX measures as a standalone artifact rather than only using them inside the dashboard.</w:t>
      </w:r>
    </w:p>
    <w:p>
      <w:pPr>
        <w:pBdr>
          <w:top w:val="single" w:color="BFBFBF" w:sz="4" w:space="8"/>
        </w:pBdr>
        <w:spacing w:before="300"/>
      </w:pPr>
      <w:r>
        <w:rPr>
          <w:i/>
          <w:iCs/>
          <w:color w:val="595959"/>
          <w:sz w:val="16"/>
          <w:szCs w:val="16"/>
        </w:rPr>
        <w:t xml:space="preserve">AnalystLab Africa — Data Analytics Internship Programme  |  Week 3 Business Analytics Case Study</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2026-08-19T11:38:41.655Z</dcterms:created>
  <dcterms:modified xsi:type="dcterms:W3CDTF">2026-08-19T11:38:41.655Z</dcterms:modified>
</cp:coreProperties>
</file>

<file path=docProps/custom.xml><?xml version="1.0" encoding="utf-8"?>
<Properties xmlns="http://schemas.openxmlformats.org/officeDocument/2006/custom-properties" xmlns:vt="http://schemas.openxmlformats.org/officeDocument/2006/docPropsVTypes"/>
</file>