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9A227"/>
          <w:sz w:val="20"/>
          <w:szCs w:val="20"/>
        </w:rPr>
        <w:t xml:space="preserve">ANALYSTLAB AFRICA</w:t>
      </w:r>
    </w:p>
    <w:p>
      <w:pPr>
        <w:pBdr>
          <w:bottom w:val="single" w:color="1F3864" w:sz="8" w:space="8"/>
        </w:pBdr>
        <w:spacing w:after="240"/>
        <w:jc w:val="center"/>
      </w:pPr>
      <w:r>
        <w:rPr>
          <w:b/>
          <w:bCs/>
          <w:color w:val="1F3864"/>
          <w:sz w:val="32"/>
          <w:szCs w:val="32"/>
        </w:rPr>
        <w:t xml:space="preserve">Business Insights &amp; Recommendations</w:t>
      </w:r>
    </w:p>
    <w:p>
      <w:pPr>
        <w:spacing w:after="60"/>
        <w:jc w:val="center"/>
      </w:pPr>
      <w:r>
        <w:rPr>
          <w:i/>
          <w:iCs/>
          <w:color w:val="595959"/>
          <w:sz w:val="20"/>
          <w:szCs w:val="20"/>
        </w:rPr>
        <w:t xml:space="preserve">Week 3 — Advanced Data Analysis, KPI Development &amp; BI Dashboard</w:t>
      </w:r>
    </w:p>
    <w:p>
      <w:pPr>
        <w:spacing w:after="320"/>
        <w:jc w:val="center"/>
      </w:pPr>
      <w:r>
        <w:rPr>
          <w:color w:val="595959"/>
          <w:sz w:val="18"/>
          <w:szCs w:val="18"/>
        </w:rPr>
        <w:t xml:space="preserve">Prepared by: Moses Oluwatosin  |  AnalystLab Africa Consulting</w:t>
      </w:r>
    </w:p>
    <w:p>
      <w:pPr>
        <w:pStyle w:val="Heading1"/>
        <w:spacing w:after="150" w:before="320"/>
      </w:pPr>
      <w:r>
        <w:rPr>
          <w:b/>
          <w:bCs/>
          <w:color w:val="1F3864"/>
          <w:sz w:val="26"/>
          <w:szCs w:val="26"/>
        </w:rPr>
        <w:t xml:space="preserve">Investigated Business Problems</w:t>
      </w:r>
    </w:p>
    <w:p>
      <w:pPr>
        <w:spacing w:after="60" w:before="160"/>
      </w:pPr>
      <w:r>
        <w:rPr>
          <w:b/>
          <w:bCs/>
          <w:color w:val="E34948"/>
          <w:sz w:val="23"/>
          <w:szCs w:val="23"/>
        </w:rPr>
        <w:t xml:space="preserve">1. </w:t>
      </w:r>
      <w:r>
        <w:rPr>
          <w:b/>
          <w:bCs/>
          <w:color w:val="262626"/>
          <w:sz w:val="23"/>
          <w:szCs w:val="23"/>
        </w:rPr>
        <w:t xml:space="preserve">High Sales but Low or Negative Profit Products.</w:t>
      </w:r>
    </w:p>
    <w:p>
      <w:pPr>
        <w:spacing w:after="60"/>
        <w:ind w:left="200"/>
        <w:jc w:val="both"/>
      </w:pPr>
      <w:r>
        <w:rPr>
          <w:color w:val="262626"/>
          <w:sz w:val="22"/>
          <w:szCs w:val="22"/>
        </w:rPr>
        <w:t xml:space="preserve">A cluster of products sit in the top 25% of sales but carry under 5% profit margin, several of them net losses. This is not confined to one category — it spans Technology and Office Supplies items that individually look like strong sellers but are quietly eroding profit.</w:t>
      </w:r>
    </w:p>
    <w:p>
      <w:pPr>
        <w:spacing w:after="200" w:line="260"/>
        <w:ind w:left="200"/>
      </w:pPr>
      <w:r>
        <w:rPr>
          <w:b/>
          <w:bCs/>
          <w:i/>
          <w:iCs/>
          <w:color w:val="595959"/>
          <w:sz w:val="20"/>
          <w:szCs w:val="20"/>
        </w:rPr>
        <w:t xml:space="preserve">Evidence: </w:t>
      </w:r>
      <w:r>
        <w:rPr>
          <w:i/>
          <w:iCs/>
          <w:color w:val="595959"/>
          <w:sz w:val="20"/>
          <w:szCs w:val="20"/>
        </w:rPr>
        <w:t xml:space="preserve">Cubify CubeX 3D Printer: –80% margin. Lexmark MX611dhe Monochrome Laser Printer: –27% margin. Cisco TelePresence System EX90: –8% margin, despite strong unit sales.</w:t>
      </w:r>
    </w:p>
    <w:p>
      <w:pPr>
        <w:spacing w:after="60" w:before="160"/>
      </w:pPr>
      <w:r>
        <w:rPr>
          <w:b/>
          <w:bCs/>
          <w:color w:val="E34948"/>
          <w:sz w:val="23"/>
          <w:szCs w:val="23"/>
        </w:rPr>
        <w:t xml:space="preserve">2. </w:t>
      </w:r>
      <w:r>
        <w:rPr>
          <w:b/>
          <w:bCs/>
          <w:color w:val="262626"/>
          <w:sz w:val="23"/>
          <w:szCs w:val="23"/>
        </w:rPr>
        <w:t xml:space="preserve">Loss-Making Orders at Scale.</w:t>
      </w:r>
    </w:p>
    <w:p>
      <w:pPr>
        <w:spacing w:after="60"/>
        <w:ind w:left="200"/>
        <w:jc w:val="both"/>
      </w:pPr>
      <w:r>
        <w:rPr>
          <w:color w:val="262626"/>
          <w:sz w:val="22"/>
          <w:szCs w:val="22"/>
        </w:rPr>
        <w:t xml:space="preserve">Losses are not isolated incidents. Over a quarter of all orders placed lose the company money, concentrated in Furniture sub-categories and heavily discounted line items. January 2015 was a net-loss month overall, showing the problem can compound across an entire period, not just individual products.</w:t>
      </w:r>
    </w:p>
    <w:p>
      <w:pPr>
        <w:spacing w:after="200" w:line="260"/>
        <w:ind w:left="200"/>
      </w:pPr>
      <w:r>
        <w:rPr>
          <w:b/>
          <w:bCs/>
          <w:i/>
          <w:iCs/>
          <w:color w:val="595959"/>
          <w:sz w:val="20"/>
          <w:szCs w:val="20"/>
        </w:rPr>
        <w:t xml:space="preserve">Evidence: </w:t>
      </w:r>
      <w:r>
        <w:rPr>
          <w:i/>
          <w:iCs/>
          <w:color w:val="595959"/>
          <w:sz w:val="20"/>
          <w:szCs w:val="20"/>
        </w:rPr>
        <w:t xml:space="preserve">1,318 of 5,009 total orders (26.3%) are net loss-making, spanning 1,871 individual loss-making line items.</w:t>
      </w:r>
    </w:p>
    <w:p>
      <w:pPr>
        <w:spacing w:after="60" w:before="160"/>
      </w:pPr>
      <w:r>
        <w:rPr>
          <w:b/>
          <w:bCs/>
          <w:color w:val="E34948"/>
          <w:sz w:val="23"/>
          <w:szCs w:val="23"/>
        </w:rPr>
        <w:t xml:space="preserve">3. </w:t>
      </w:r>
      <w:r>
        <w:rPr>
          <w:b/>
          <w:bCs/>
          <w:color w:val="262626"/>
          <w:sz w:val="23"/>
          <w:szCs w:val="23"/>
        </w:rPr>
        <w:t xml:space="preserve">Discounting Is the Clearest, Most Quantifiable Driver of Loss.</w:t>
      </w:r>
    </w:p>
    <w:p>
      <w:pPr>
        <w:spacing w:after="60"/>
        <w:ind w:left="200"/>
        <w:jc w:val="both"/>
      </w:pPr>
      <w:r>
        <w:rPr>
          <w:color w:val="262626"/>
          <w:sz w:val="22"/>
          <w:szCs w:val="22"/>
        </w:rPr>
        <w:t xml:space="preserve">Profit margin declines in an almost straight line as discount level increases, moving from strongly profitable at no discount to deeply loss-making at high discount. This is the single most consistent pattern in the entire dataset and points to a specific, fixable policy gap rather than a diffuse problem.</w:t>
      </w:r>
    </w:p>
    <w:p>
      <w:pPr>
        <w:spacing w:after="200" w:line="260"/>
        <w:ind w:left="200"/>
      </w:pPr>
      <w:r>
        <w:rPr>
          <w:b/>
          <w:bCs/>
          <w:i/>
          <w:iCs/>
          <w:color w:val="595959"/>
          <w:sz w:val="20"/>
          <w:szCs w:val="20"/>
        </w:rPr>
        <w:t xml:space="preserve">Evidence: </w:t>
      </w:r>
      <w:r>
        <w:rPr>
          <w:i/>
          <w:iCs/>
          <w:color w:val="595959"/>
          <w:sz w:val="20"/>
          <w:szCs w:val="20"/>
        </w:rPr>
        <w:t xml:space="preserve">Margin by discount band: 0% discount → 29.5% margin; 11–20% → 11.6% margin; 21–30% → –10.0% margin (turns negative); 51%+ → –119.0% margin.</w:t>
      </w:r>
    </w:p>
    <w:p>
      <w:pPr>
        <w:pStyle w:val="Heading1"/>
        <w:spacing w:after="150" w:before="320"/>
      </w:pPr>
      <w:r>
        <w:rPr>
          <w:b/>
          <w:bCs/>
          <w:color w:val="1F3864"/>
          <w:sz w:val="26"/>
          <w:szCs w:val="26"/>
        </w:rPr>
        <w:t xml:space="preserve">Key Business Insights</w:t>
      </w:r>
    </w:p>
    <w:p>
      <w:pPr>
        <w:spacing w:after="60" w:before="160"/>
      </w:pPr>
      <w:r>
        <w:rPr>
          <w:b/>
          <w:bCs/>
          <w:color w:val="1F3864"/>
          <w:sz w:val="23"/>
          <w:szCs w:val="23"/>
        </w:rPr>
        <w:t xml:space="preserve">1. </w:t>
      </w:r>
      <w:r>
        <w:rPr>
          <w:b/>
          <w:bCs/>
          <w:color w:val="262626"/>
          <w:sz w:val="23"/>
          <w:szCs w:val="23"/>
        </w:rPr>
        <w:t xml:space="preserve">Profit is growing faster than sales — a genuinely positive trend.</w:t>
      </w:r>
    </w:p>
    <w:p>
      <w:pPr>
        <w:spacing w:after="60"/>
        <w:ind w:left="200"/>
        <w:jc w:val="both"/>
      </w:pPr>
      <w:r>
        <w:rPr>
          <w:color w:val="262626"/>
          <w:sz w:val="22"/>
          <w:szCs w:val="22"/>
        </w:rPr>
        <w:t xml:space="preserve">Year-over-year, profit growth has outpaced sales growth in two of the last three years, meaning the business is not just getting bigger, it is getting more efficient at converting sales into profit.</w:t>
      </w:r>
    </w:p>
    <w:p>
      <w:pPr>
        <w:spacing w:after="200" w:line="260"/>
        <w:ind w:left="200"/>
      </w:pPr>
      <w:r>
        <w:rPr>
          <w:b/>
          <w:bCs/>
          <w:i/>
          <w:iCs/>
          <w:color w:val="595959"/>
          <w:sz w:val="20"/>
          <w:szCs w:val="20"/>
        </w:rPr>
        <w:t xml:space="preserve">Evidence: </w:t>
      </w:r>
      <w:r>
        <w:rPr>
          <w:i/>
          <w:iCs/>
          <w:color w:val="595959"/>
          <w:sz w:val="20"/>
          <w:szCs w:val="20"/>
        </w:rPr>
        <w:t xml:space="preserve">2016: Sales +29.5%, Profit +32.7%. 2017: Sales +20.4%, Profit +14.2% (the one year profit growth lagged, worth monitoring).</w:t>
      </w:r>
    </w:p>
    <w:p>
      <w:pPr>
        <w:spacing w:after="60" w:before="160"/>
      </w:pPr>
      <w:r>
        <w:rPr>
          <w:b/>
          <w:bCs/>
          <w:color w:val="1F3864"/>
          <w:sz w:val="23"/>
          <w:szCs w:val="23"/>
        </w:rPr>
        <w:t xml:space="preserve">2. </w:t>
      </w:r>
      <w:r>
        <w:rPr>
          <w:b/>
          <w:bCs/>
          <w:color w:val="262626"/>
          <w:sz w:val="23"/>
          <w:szCs w:val="23"/>
        </w:rPr>
        <w:t xml:space="preserve">The business has a clear, predictable seasonal pattern.</w:t>
      </w:r>
    </w:p>
    <w:p>
      <w:pPr>
        <w:spacing w:after="60"/>
        <w:ind w:left="200"/>
        <w:jc w:val="both"/>
      </w:pPr>
      <w:r>
        <w:rPr>
          <w:color w:val="262626"/>
          <w:sz w:val="22"/>
          <w:szCs w:val="22"/>
        </w:rPr>
        <w:t xml:space="preserve">November and December consistently outperform every other month, driven by holiday shopping, while January and February are consistently the weakest period every year without exception.</w:t>
      </w:r>
    </w:p>
    <w:p>
      <w:pPr>
        <w:spacing w:after="200" w:line="260"/>
        <w:ind w:left="200"/>
      </w:pPr>
      <w:r>
        <w:rPr>
          <w:b/>
          <w:bCs/>
          <w:i/>
          <w:iCs/>
          <w:color w:val="595959"/>
          <w:sz w:val="20"/>
          <w:szCs w:val="20"/>
        </w:rPr>
        <w:t xml:space="preserve">Evidence: </w:t>
      </w:r>
      <w:r>
        <w:rPr>
          <w:i/>
          <w:iCs/>
          <w:color w:val="595959"/>
          <w:sz w:val="20"/>
          <w:szCs w:val="20"/>
        </w:rPr>
        <w:t xml:space="preserve">Best sales month: November 2017 ($118,448). Worst sales month: February 2014 ($4,520). Worst profit month: January 2015, a net loss of –$3,281.</w:t>
      </w:r>
    </w:p>
    <w:p>
      <w:pPr>
        <w:spacing w:after="60" w:before="160"/>
      </w:pPr>
      <w:r>
        <w:rPr>
          <w:b/>
          <w:bCs/>
          <w:color w:val="1F3864"/>
          <w:sz w:val="23"/>
          <w:szCs w:val="23"/>
        </w:rPr>
        <w:t xml:space="preserve">3. </w:t>
      </w:r>
      <w:r>
        <w:rPr>
          <w:b/>
          <w:bCs/>
          <w:color w:val="262626"/>
          <w:sz w:val="23"/>
          <w:szCs w:val="23"/>
        </w:rPr>
        <w:t xml:space="preserve">Revenue is broadly distributed across the customer base, not customer-concentrated.</w:t>
      </w:r>
    </w:p>
    <w:p>
      <w:pPr>
        <w:spacing w:after="60"/>
        <w:ind w:left="200"/>
        <w:jc w:val="both"/>
      </w:pPr>
      <w:r>
        <w:rPr>
          <w:color w:val="262626"/>
          <w:sz w:val="22"/>
          <w:szCs w:val="22"/>
        </w:rPr>
        <w:t xml:space="preserve">With 793 unique customers and the top 10 accounting for under 7% of total sales, there is no single customer whose loss would meaningfully damage revenue — a structurally healthy position.</w:t>
      </w:r>
    </w:p>
    <w:p>
      <w:pPr>
        <w:spacing w:after="200" w:line="260"/>
        <w:ind w:left="200"/>
      </w:pPr>
      <w:r>
        <w:rPr>
          <w:b/>
          <w:bCs/>
          <w:i/>
          <w:iCs/>
          <w:color w:val="595959"/>
          <w:sz w:val="20"/>
          <w:szCs w:val="20"/>
        </w:rPr>
        <w:t xml:space="preserve">Evidence: </w:t>
      </w:r>
      <w:r>
        <w:rPr>
          <w:i/>
          <w:iCs/>
          <w:color w:val="595959"/>
          <w:sz w:val="20"/>
          <w:szCs w:val="20"/>
        </w:rPr>
        <w:t xml:space="preserve">Top 10 customers by sales account for only 6.7% of total company sales.</w:t>
      </w:r>
    </w:p>
    <w:p>
      <w:pPr>
        <w:spacing w:after="60" w:before="160"/>
      </w:pPr>
      <w:r>
        <w:rPr>
          <w:b/>
          <w:bCs/>
          <w:color w:val="1F3864"/>
          <w:sz w:val="23"/>
          <w:szCs w:val="23"/>
        </w:rPr>
        <w:t xml:space="preserve">4. </w:t>
      </w:r>
      <w:r>
        <w:rPr>
          <w:b/>
          <w:bCs/>
          <w:color w:val="262626"/>
          <w:sz w:val="23"/>
          <w:szCs w:val="23"/>
        </w:rPr>
        <w:t xml:space="preserve">The company's top customer by revenue is actually unprofitable.</w:t>
      </w:r>
    </w:p>
    <w:p>
      <w:pPr>
        <w:spacing w:after="60"/>
        <w:ind w:left="200"/>
        <w:jc w:val="both"/>
      </w:pPr>
      <w:r>
        <w:rPr>
          <w:color w:val="262626"/>
          <w:sz w:val="22"/>
          <w:szCs w:val="22"/>
        </w:rPr>
        <w:t xml:space="preserve">Sean Miller generates more total sales than any other customer, but the account is net loss-making once discounts and costs are accounted for — a red flag that high-revenue customers are not automatically high-value customers.</w:t>
      </w:r>
    </w:p>
    <w:p>
      <w:pPr>
        <w:spacing w:after="200" w:line="260"/>
        <w:ind w:left="200"/>
      </w:pPr>
      <w:r>
        <w:rPr>
          <w:b/>
          <w:bCs/>
          <w:i/>
          <w:iCs/>
          <w:color w:val="595959"/>
          <w:sz w:val="20"/>
          <w:szCs w:val="20"/>
        </w:rPr>
        <w:t xml:space="preserve">Evidence: </w:t>
      </w:r>
      <w:r>
        <w:rPr>
          <w:i/>
          <w:iCs/>
          <w:color w:val="595959"/>
          <w:sz w:val="20"/>
          <w:szCs w:val="20"/>
        </w:rPr>
        <w:t xml:space="preserve">Sean Miller: $25,043 in sales but –$1,981 in profit across 5 orders — the highest sales of any customer, and negative profit.</w:t>
      </w:r>
    </w:p>
    <w:p>
      <w:pPr>
        <w:spacing w:after="60" w:before="160"/>
      </w:pPr>
      <w:r>
        <w:rPr>
          <w:b/>
          <w:bCs/>
          <w:color w:val="1F3864"/>
          <w:sz w:val="23"/>
          <w:szCs w:val="23"/>
        </w:rPr>
        <w:t xml:space="preserve">5. </w:t>
      </w:r>
      <w:r>
        <w:rPr>
          <w:b/>
          <w:bCs/>
          <w:color w:val="262626"/>
          <w:sz w:val="23"/>
          <w:szCs w:val="23"/>
        </w:rPr>
        <w:t xml:space="preserve">Furniture's losses are driven by specific, identifiable sub-categories and products, not the category broadly.</w:t>
      </w:r>
    </w:p>
    <w:p>
      <w:pPr>
        <w:spacing w:after="60"/>
        <w:ind w:left="200"/>
        <w:jc w:val="both"/>
      </w:pPr>
      <w:r>
        <w:rPr>
          <w:color w:val="262626"/>
          <w:sz w:val="22"/>
          <w:szCs w:val="22"/>
        </w:rPr>
        <w:t xml:space="preserve">The category-level weakness traced in Week 2 narrows down further in Week 3: Tables and Bookcases remain the core problem, and several individual high-sales products across categories carry the same high-discount, negative-margin pattern.</w:t>
      </w:r>
    </w:p>
    <w:p>
      <w:pPr>
        <w:spacing w:after="200" w:line="260"/>
        <w:ind w:left="200"/>
      </w:pPr>
      <w:r>
        <w:rPr>
          <w:b/>
          <w:bCs/>
          <w:i/>
          <w:iCs/>
          <w:color w:val="595959"/>
          <w:sz w:val="20"/>
          <w:szCs w:val="20"/>
        </w:rPr>
        <w:t xml:space="preserve">Evidence: </w:t>
      </w:r>
      <w:r>
        <w:rPr>
          <w:i/>
          <w:iCs/>
          <w:color w:val="595959"/>
          <w:sz w:val="20"/>
          <w:szCs w:val="20"/>
        </w:rPr>
        <w:t xml:space="preserve">Tables: –8.6% margin. Bookcases: –3.0% margin. Multiple individual products above the 75th percentile in sales carry under 5% margin.</w:t>
      </w:r>
    </w:p>
    <w:p>
      <w:pPr>
        <w:pStyle w:val="Heading1"/>
        <w:spacing w:after="150" w:before="320"/>
      </w:pPr>
      <w:r>
        <w:rPr>
          <w:b/>
          <w:bCs/>
          <w:color w:val="1F3864"/>
          <w:sz w:val="26"/>
          <w:szCs w:val="26"/>
        </w:rPr>
        <w:t xml:space="preserve">Business Recommendations</w:t>
      </w:r>
    </w:p>
    <w:p>
      <w:pPr>
        <w:spacing w:after="60" w:before="160"/>
      </w:pPr>
      <w:r>
        <w:rPr>
          <w:b/>
          <w:bCs/>
          <w:color w:val="1F3864"/>
          <w:sz w:val="23"/>
          <w:szCs w:val="23"/>
        </w:rPr>
        <w:t xml:space="preserve">1. </w:t>
      </w:r>
      <w:r>
        <w:rPr>
          <w:b/>
          <w:bCs/>
          <w:color w:val="262626"/>
          <w:sz w:val="23"/>
          <w:szCs w:val="23"/>
        </w:rPr>
        <w:t xml:space="preserve">Introduce a hard discount ceiling tied to margin data, not a flat rule.</w:t>
      </w:r>
    </w:p>
    <w:p>
      <w:pPr>
        <w:spacing w:after="60"/>
        <w:ind w:left="200"/>
        <w:jc w:val="both"/>
      </w:pPr>
      <w:r>
        <w:rPr>
          <w:color w:val="262626"/>
          <w:sz w:val="22"/>
          <w:szCs w:val="22"/>
        </w:rPr>
        <w:t xml:space="preserve">Cap discounts at approximately 20% company-wide, since margin turns negative beyond that point in every discount band tested. This single change targets the clearest, most quantifiable loss driver in the dataset.</w:t>
      </w:r>
    </w:p>
    <w:p>
      <w:pPr>
        <w:spacing w:after="200" w:line="260"/>
        <w:ind w:left="200"/>
      </w:pPr>
      <w:r>
        <w:rPr>
          <w:b/>
          <w:bCs/>
          <w:i/>
          <w:iCs/>
          <w:color w:val="595959"/>
          <w:sz w:val="20"/>
          <w:szCs w:val="20"/>
        </w:rPr>
        <w:t xml:space="preserve">Evidence: </w:t>
      </w:r>
      <w:r>
        <w:rPr>
          <w:i/>
          <w:iCs/>
          <w:color w:val="595959"/>
          <w:sz w:val="20"/>
          <w:szCs w:val="20"/>
        </w:rPr>
        <w:t xml:space="preserve">Every discount band above 20% shows negative margin, from –10.0% at 21–30% down to –119.0% at 51%+.</w:t>
      </w:r>
    </w:p>
    <w:p>
      <w:pPr>
        <w:spacing w:after="60" w:before="160"/>
      </w:pPr>
      <w:r>
        <w:rPr>
          <w:b/>
          <w:bCs/>
          <w:color w:val="1F3864"/>
          <w:sz w:val="23"/>
          <w:szCs w:val="23"/>
        </w:rPr>
        <w:t xml:space="preserve">2. </w:t>
      </w:r>
      <w:r>
        <w:rPr>
          <w:b/>
          <w:bCs/>
          <w:color w:val="262626"/>
          <w:sz w:val="23"/>
          <w:szCs w:val="23"/>
        </w:rPr>
        <w:t xml:space="preserve">Build a standing 'high-sales, low-margin' product watchlist.</w:t>
      </w:r>
    </w:p>
    <w:p>
      <w:pPr>
        <w:spacing w:after="60"/>
        <w:ind w:left="200"/>
        <w:jc w:val="both"/>
      </w:pPr>
      <w:r>
        <w:rPr>
          <w:color w:val="262626"/>
          <w:sz w:val="22"/>
          <w:szCs w:val="22"/>
        </w:rPr>
        <w:t xml:space="preserve">Rather than reviewing profitability by category alone, flag individual products that are simultaneously high in sales volume and low or negative in margin — this surfaces problems that category-level averages hide.</w:t>
      </w:r>
    </w:p>
    <w:p>
      <w:pPr>
        <w:spacing w:after="200" w:line="260"/>
        <w:ind w:left="200"/>
      </w:pPr>
      <w:r>
        <w:rPr>
          <w:b/>
          <w:bCs/>
          <w:i/>
          <w:iCs/>
          <w:color w:val="595959"/>
          <w:sz w:val="20"/>
          <w:szCs w:val="20"/>
        </w:rPr>
        <w:t xml:space="preserve">Evidence: </w:t>
      </w:r>
      <w:r>
        <w:rPr>
          <w:i/>
          <w:iCs/>
          <w:color w:val="595959"/>
          <w:sz w:val="20"/>
          <w:szCs w:val="20"/>
        </w:rPr>
        <w:t xml:space="preserve">10 products in the top sales quartile carry under 5% margin, including three at negative margin, none of which are visible from category-level reporting alone.</w:t>
      </w:r>
    </w:p>
    <w:p>
      <w:pPr>
        <w:spacing w:after="60" w:before="160"/>
      </w:pPr>
      <w:r>
        <w:rPr>
          <w:b/>
          <w:bCs/>
          <w:color w:val="1F3864"/>
          <w:sz w:val="23"/>
          <w:szCs w:val="23"/>
        </w:rPr>
        <w:t xml:space="preserve">3. </w:t>
      </w:r>
      <w:r>
        <w:rPr>
          <w:b/>
          <w:bCs/>
          <w:color w:val="262626"/>
          <w:sz w:val="23"/>
          <w:szCs w:val="23"/>
        </w:rPr>
        <w:t xml:space="preserve">Reallocate marketing push toward the Nov–Dec peak, and plan cash flow around the Jan–Feb trough.</w:t>
      </w:r>
    </w:p>
    <w:p>
      <w:pPr>
        <w:spacing w:after="60"/>
        <w:ind w:left="200"/>
        <w:jc w:val="both"/>
      </w:pPr>
      <w:r>
        <w:rPr>
          <w:color w:val="262626"/>
          <w:sz w:val="22"/>
          <w:szCs w:val="22"/>
        </w:rPr>
        <w:t xml:space="preserve">Since the seasonal pattern is consistent across all four years, marketing spend, inventory build-up, and staffing should be deliberately weighted toward Q4, while Jan–Feb should be treated as a planned low-revenue period rather than an unexpected dip.</w:t>
      </w:r>
    </w:p>
    <w:p>
      <w:pPr>
        <w:spacing w:after="200" w:line="260"/>
        <w:ind w:left="200"/>
      </w:pPr>
      <w:r>
        <w:rPr>
          <w:b/>
          <w:bCs/>
          <w:i/>
          <w:iCs/>
          <w:color w:val="595959"/>
          <w:sz w:val="20"/>
          <w:szCs w:val="20"/>
        </w:rPr>
        <w:t xml:space="preserve">Evidence: </w:t>
      </w:r>
      <w:r>
        <w:rPr>
          <w:i/>
          <w:iCs/>
          <w:color w:val="595959"/>
          <w:sz w:val="20"/>
          <w:szCs w:val="20"/>
        </w:rPr>
        <w:t xml:space="preserve">Q4 sales exceeded every other quarter in all four years studied (2014–2017); January 2015 was a net-loss month.</w:t>
      </w:r>
    </w:p>
    <w:p>
      <w:pPr>
        <w:spacing w:after="60" w:before="160"/>
      </w:pPr>
      <w:r>
        <w:rPr>
          <w:b/>
          <w:bCs/>
          <w:color w:val="1F3864"/>
          <w:sz w:val="23"/>
          <w:szCs w:val="23"/>
        </w:rPr>
        <w:t xml:space="preserve">4. </w:t>
      </w:r>
      <w:r>
        <w:rPr>
          <w:b/>
          <w:bCs/>
          <w:color w:val="262626"/>
          <w:sz w:val="23"/>
          <w:szCs w:val="23"/>
        </w:rPr>
        <w:t xml:space="preserve">Review account-level terms for high-revenue but unprofitable customers.</w:t>
      </w:r>
    </w:p>
    <w:p>
      <w:pPr>
        <w:spacing w:after="60"/>
        <w:ind w:left="200"/>
        <w:jc w:val="both"/>
      </w:pPr>
      <w:r>
        <w:rPr>
          <w:color w:val="262626"/>
          <w:sz w:val="22"/>
          <w:szCs w:val="22"/>
        </w:rPr>
        <w:t xml:space="preserve">Audit customers like Sean Miller who generate strong revenue but negative profit — likely due to discount terms or return patterns — and adjust pricing or discount eligibility at the account level rather than only at the product level.</w:t>
      </w:r>
    </w:p>
    <w:p>
      <w:pPr>
        <w:spacing w:after="200" w:line="260"/>
        <w:ind w:left="200"/>
      </w:pPr>
      <w:r>
        <w:rPr>
          <w:b/>
          <w:bCs/>
          <w:i/>
          <w:iCs/>
          <w:color w:val="595959"/>
          <w:sz w:val="20"/>
          <w:szCs w:val="20"/>
        </w:rPr>
        <w:t xml:space="preserve">Evidence: </w:t>
      </w:r>
      <w:r>
        <w:rPr>
          <w:i/>
          <w:iCs/>
          <w:color w:val="595959"/>
          <w:sz w:val="20"/>
          <w:szCs w:val="20"/>
        </w:rPr>
        <w:t xml:space="preserve">Sean Miller: $25,043 in sales, –$1,981 in profit — the company's highest-revenue customer is currently a net cost.</w:t>
      </w:r>
    </w:p>
    <w:p>
      <w:pPr>
        <w:spacing w:after="60" w:before="160"/>
      </w:pPr>
      <w:r>
        <w:rPr>
          <w:b/>
          <w:bCs/>
          <w:color w:val="1F3864"/>
          <w:sz w:val="23"/>
          <w:szCs w:val="23"/>
        </w:rPr>
        <w:t xml:space="preserve">5. </w:t>
      </w:r>
      <w:r>
        <w:rPr>
          <w:b/>
          <w:bCs/>
          <w:color w:val="262626"/>
          <w:sz w:val="23"/>
          <w:szCs w:val="23"/>
        </w:rPr>
        <w:t xml:space="preserve">Continue investing in what is already working: Technology, Office Supplies, and the West/East regions.</w:t>
      </w:r>
    </w:p>
    <w:p>
      <w:pPr>
        <w:spacing w:after="60"/>
        <w:ind w:left="200"/>
        <w:jc w:val="both"/>
      </w:pPr>
      <w:r>
        <w:rPr>
          <w:color w:val="262626"/>
          <w:sz w:val="22"/>
          <w:szCs w:val="22"/>
        </w:rPr>
        <w:t xml:space="preserve">Profit growing faster than sales in most years shows recent efficiency gains are working. Protect and extend this by continuing to prioritize the highest-margin categories and regions identified in Week 2, rather than diluting focus.</w:t>
      </w:r>
    </w:p>
    <w:p>
      <w:pPr>
        <w:spacing w:after="200" w:line="260"/>
        <w:ind w:left="200"/>
      </w:pPr>
      <w:r>
        <w:rPr>
          <w:b/>
          <w:bCs/>
          <w:i/>
          <w:iCs/>
          <w:color w:val="595959"/>
          <w:sz w:val="20"/>
          <w:szCs w:val="20"/>
        </w:rPr>
        <w:t xml:space="preserve">Evidence: </w:t>
      </w:r>
      <w:r>
        <w:rPr>
          <w:i/>
          <w:iCs/>
          <w:color w:val="595959"/>
          <w:sz w:val="20"/>
          <w:szCs w:val="20"/>
        </w:rPr>
        <w:t xml:space="preserve">Profit growth outpaced sales growth in 2016 (+32.7% vs +29.5%); Technology and Office Supplies remain the two highest-margin categories at ~17% each.</w:t>
      </w:r>
    </w:p>
    <w:p>
      <w:pPr>
        <w:pBdr>
          <w:top w:val="single" w:color="BFBFBF" w:sz="4" w:space="8"/>
        </w:pBdr>
        <w:spacing w:before="300"/>
      </w:pPr>
      <w:r>
        <w:rPr>
          <w:i/>
          <w:iCs/>
          <w:color w:val="595959"/>
          <w:sz w:val="16"/>
          <w:szCs w:val="16"/>
        </w:rPr>
        <w:t xml:space="preserve">AnalystLab Africa — Data Analytics Internship Programme  |  Week 3 Business Analytics Case Study  |  Figures derived from the cleaned Superstore dataset (2014–2017)</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2026-08-19T11:39:19.996Z</dcterms:created>
  <dcterms:modified xsi:type="dcterms:W3CDTF">2026-08-19T11:39:19.996Z</dcterms:modified>
</cp:coreProperties>
</file>

<file path=docProps/custom.xml><?xml version="1.0" encoding="utf-8"?>
<Properties xmlns="http://schemas.openxmlformats.org/officeDocument/2006/custom-properties" xmlns:vt="http://schemas.openxmlformats.org/officeDocument/2006/docPropsVTypes"/>
</file>