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9A227"/>
          <w:sz w:val="20"/>
          <w:szCs w:val="20"/>
        </w:rPr>
        <w:t xml:space="preserve">ANALYSTLAB AFRICA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b/>
          <w:bCs/>
          <w:color w:val="1F3864"/>
          <w:sz w:val="34"/>
          <w:szCs w:val="34"/>
        </w:rPr>
        <w:t xml:space="preserve">DAX Measures Documentation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Week 3 — Advanced Data Analysis, KPI Development &amp; BI Dashboard</w:t>
      </w:r>
    </w:p>
    <w:p>
      <w:pPr>
        <w:spacing w:after="300"/>
        <w:jc w:val="center"/>
      </w:pPr>
      <w:r>
        <w:rPr>
          <w:color w:val="595959"/>
          <w:sz w:val="18"/>
          <w:szCs w:val="18"/>
        </w:rPr>
        <w:t xml:space="preserve">Prepared by: Moses Oluwatosin  |  AnalystLab Africa Consulting</w:t>
      </w:r>
    </w:p>
    <w:p>
      <w:pPr>
        <w:spacing w:after="160" w:line="276"/>
        <w:jc w:val="both"/>
      </w:pPr>
      <w:r>
        <w:rPr>
          <w:color w:val="262626"/>
          <w:sz w:val="22"/>
          <w:szCs w:val="22"/>
        </w:rPr>
        <w:t xml:space="preserve">The measures below were created in Power BI using DAX (Data Analysis Expressions). Measures 1–6 carry over and support the dashboard's core KPI cards from Week 2; measures 7–10 are new for Week 3 and specifically support growth tracking, customer analysis, and loss investigation.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shd w:fill="1F3864" w:color="auto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shd w:fill="1F3864" w:color="auto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Sales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Total Sales = SUM(Superstore[Sales])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Core revenue KPI. Foundation for growth and margin measures below.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Profit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Total Profit = SUM(Superstore[Profit])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Core profitability KPI. Used directly and as a base for Profit Margin and Profit Growth.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Orders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Total Orders = DISTINCTCOUNT(Superstore[Order ID])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Distinct count is used because one Order ID can contain multiple line items; a plain COUNT would overstate order volume.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Customers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Total Customers = DISTINCTCOUNT(Superstore[Customer ID])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New for Week 3. Shows customer base size (793 unique customers) and supports concentration analysis — top 10 customers make up only 6.7% of sales, showing revenue is broadly distributed.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Profit Margin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Profit Margin = DIVIDE([Total Profit], [Total Sales], 0)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DIVIDE() is used instead of a plain “/” to safely handle any zero-sales edge case (returns 0 instead of an error). Format as Percentage.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Average Sales per Order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Avg Sales per Order = DIVIDE([Total Sales], [Total Orders], 0)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Shows average order value; useful for tracking whether growth is driven by more orders or bigger orders.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Sales Growth %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Sales Growth % = 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VAR CurrentSales = [Total Sales]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VAR PriorYearSales = CALCULATE([Total Sales], SAMEPERIODLASTYEAR('Calendar'[Date]))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RETURN DIVIDE(CurrentSales - PriorYearSales, PriorYearSales, BLANK())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New for Week 3. Requires a Calendar/date table marked as a date table in the model. Shows year-over-year sales growth — 2016 grew +29.5% vs 2015, 2017 grew +20.4% vs 2016.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Profit Growth %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Profit Growth % = 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VAR CurrentProfit = [Total Profit]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VAR PriorYearProfit = CALCULATE([Total Profit], SAMEPERIODLASTYEAR('Calendar'[Date]))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RETURN DIVIDE(CurrentProfit - PriorYearProfit, PriorYearProfit, BLANK())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New for Week 3. Confirms profit is growing faster than sales in most years — an important signal that profitability is improving, not just revenue.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Loss-Making Orders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Loss-Making Orders = 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CALCULATE(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    DISTINCTCOUNT(Superstore[Order ID]),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    Superstore[Profit] &lt; 0</w:t>
            </w:r>
          </w:p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New for Week 3. Flags scale of the profitability problem — 1,318 of 5,009 orders (26.3%) are net losses.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Average Discount</w:t>
            </w:r>
          </w:p>
        </w:tc>
        <w:tc>
          <w:tcPr>
            <w:tcW w:type="pct" w:w="40%"/>
            <w:shd w:fill="F2F2F2" w:color="auto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18"/>
                <w:szCs w:val="18"/>
              </w:rPr>
              <w:t xml:space="preserve">Avg Discount = AVERAGE(Superstore[Discount])</w:t>
            </w:r>
          </w:p>
        </w:tc>
        <w:tc>
          <w:tcPr>
            <w:tcW w:type="pct" w:w="42%"/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Supports the discount-vs-profitability investigation — tracks whether average discounting is creeping upward over time or by category.</w:t>
            </w:r>
          </w:p>
        </w:tc>
      </w:tr>
    </w:tbl>
    <w:p>
      <w:pPr>
        <w:spacing w:before="26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26"/>
          <w:szCs w:val="26"/>
        </w:rPr>
        <w:t xml:space="preserve">Notes on Implementation</w:t>
      </w:r>
    </w:p>
    <w:p>
      <w:pPr>
        <w:spacing w:after="160" w:line="276"/>
        <w:jc w:val="both"/>
      </w:pPr>
      <w:r>
        <w:rPr>
          <w:color w:val="262626"/>
          <w:sz w:val="22"/>
          <w:szCs w:val="22"/>
        </w:rPr>
        <w:t xml:space="preserve">Sales Growth % and Profit Growth % require a dedicated Calendar table in the Power BI model, marked as the official date table (Modeling → Mark as Date Table), with a continuous date range covering 2014–2017. Without this, SAMEPERIODLASTYEAR() will not calculate correctly.</w:t>
      </w:r>
    </w:p>
    <w:p>
      <w:pPr>
        <w:spacing w:after="160" w:line="276"/>
        <w:jc w:val="both"/>
      </w:pPr>
      <w:r>
        <w:rPr>
          <w:color w:val="262626"/>
          <w:sz w:val="22"/>
          <w:szCs w:val="22"/>
        </w:rPr>
        <w:t xml:space="preserve">All currency measures (Total Sales, Total Profit, Avg Sales per Order) should be formatted with the $ currency format in the Modeling ribbon. Profit Margin, Sales Growth %, and Profit Growth % should be formatted as Percentage with 1 decimal place.</w:t>
      </w:r>
    </w:p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6"/>
          <w:szCs w:val="16"/>
        </w:rPr>
        <w:t xml:space="preserve">AnalystLab Africa — Data Analytics Internship Programme  |  Week 3 Business Analytics Case Study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2026-08-19T11:38:20.135Z</dcterms:created>
  <dcterms:modified xsi:type="dcterms:W3CDTF">2026-08-19T11:38:20.154Z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