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HealthConnect Clinic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6B"/>
          <w:sz w:val="24"/>
          <w:szCs w:val="24"/>
        </w:rPr>
        <w:t xml:space="preserve">Week 8 — Final Analytics &amp; Decision Support Package</w:t>
      </w:r>
    </w:p>
    <w:p>
      <w:pPr>
        <w:spacing w:after="100" w:line="264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AnalystLab Africa Experience Lab  |  Data Analytics Track  |  Prepared by: Moses Oluwatosin  |  21 September 2026</w:t>
      </w:r>
    </w:p>
    <w:p>
      <w:pPr>
        <w:pBdr>
          <w:bottom w:val="single" w:color="D0D0D0" w:sz="6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8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This package finalises the analytical work carried through Weeks 5–7 into a decision-support output for the HealthConnect final presentation. It does not repeat prior EDA or testing in full — it presents the validated, current state of the analysis and closes out this track’s contribution to the HC-POD.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Week 7 → Week 8 Transition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Main Week 7 output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Testing &amp; refinement notebook, corrected significance tests, refined dashboard, HealthConnect_Week7_Feature_Relevance_v2.csv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Most important testing result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 6 chi-square tests were specified against the wrong outcome variable, understating every effect size and invalidating one instruction already sent to Data Science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 issue discovered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appointment_type was reported "not statistically significant" (p=0.1042) when correctly tested it is significant (p=0.0380), though practically negligible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was refined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five tests rebuilt on a binary, decided-appointment base with Holm correction; dashboard rebuilt with live-computed annotations, confidence intervals and sample sizes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Component now ready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three confirmed predictors (lead time, prior history, reminders) and the corrected feature-relevance artefact — ready for final presentation and for Data Science’s model documentation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Still to integrate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Confirmation from Data Science that their Week 8 model notes reflect the appointment_type correction; a single agreed KPI base with Project Management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Tracks involved in final integration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Science (feature relevance), Project Management (KPI reporting and closure)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this track will demonstrate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How systematic testing caught and corrected a real analytical error before it reached the final model — and that the corrected findings are stronger, not weaker, than originally reported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Final Integration Readiness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Final component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Validated no-show driver analysis + refined decision-support dashboard + corrected feature-relevance artefact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Problem it addresses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factors predict missed appointments, sized and ranked with enough confidence to act 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READY — reproducible, corrected, Holm-adjusted, and stable across 14 of 15 patient segments tested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Improved during Week 7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 test specification; reclassified appointment_type; confirmed the reminder effect is not lead-time confounding; rebuilt dashboard so annotations cannot decouple from computation again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 upstream — this track works directly from the approved dataset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Depended on by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Science (feature selection), Project Management (business recommendations and KPI reporting)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Output provided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HealthConnect_Week7_Feature_Relevance_v2.csv; week7_refined_dashboard.png; this package’s executive summary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Output needed from another track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Science’s final model performance, to confirm the ranked features actually improved predictive accuracy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Evidence of readiness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week7_testing_validation_record.csv (8 tests, field-by-field); week7_issue_log.csv (4 issues raised and closed); segment-stability results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Limitations remaining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findings observational; no causal test run; small-segment power limits; dataset no-show rate (48–51%) implausibly high for a real clinic — findings are methodologically sound, not clinically representative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Final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No-show rate (all appointments)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48.5%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Attendance rate (all appointments)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46.3%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Cancellation rate (all appointments)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No-show rate (decided appointments — cancellations excluded)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51.2%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Analysis base for significance testing</w:t>
            </w:r>
          </w:p>
        </w:tc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 = 4,737 decided appointments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Both bases are reported deliberately. The 48.5% figure describes all booked appointments; the 51.2% figure describes the appointments that were actually kept or missed — cancellations are neither. All significance testing in this package uses the decided-appointment base, since a cancellation-driven association is not a no-show finding.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Validated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6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and evidence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Booking lead time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— strongest driver. p&lt;0.001, Cramér's V=0.285. No-show rate rises from 29.7% (0–7 day lead) to 71.6% (46–60 day lead). Holds in 14 of 15 patient segments tested.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Prior no-show history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— second driver. p&lt;0.001, Cramér's V=0.122. No-show rate rises from 46.3% (no prior no-shows) to 63.4% (2+ prior no-shows, n=510).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Reminder sent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— small but genuine and independent. p=0.0038. Adjusted odds ratio 0.810 (p=0.0023) after controlling for lead time — not an artefact of reminders going disproportionately to short-lead-time patients.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Reminder channel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SIGNIFICANT BUT SMALL. p=0.0019, Cramér's V=0.056. Channel confidence intervals overlap; do not treat the SMS-best ordering as settled.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Appointment type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RECLASSIFIED. Statistically significant when tested correctly (p=0.038) but practically negligible — a likelihood-ratio test shows only a 0.0013 gain in pseudo-R² once the three confirmed drivers are controlled, and no individual type is significant on its own.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Reminder × prior-history interaction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SUPPORTED. Re-tested on the corrected base, moved further from significance (p=0.143 → 0.200). Descriptively suggestive pattern should not be engineered as a model feature.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Key Visualisation — Final Refined Dashboard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Every statistic on this dashboard is generated directly from the corrected analysis at render time — titles, effect sizes and p-values cannot drift out of sync with the underlying tests, which was the specific defect found and fixed in Week 7.</w:t>
      </w:r>
    </w:p>
    <w:p>
      <w:pPr>
        <w:spacing w:after="200"/>
        <w:jc w:val="center"/>
      </w:pPr>
      <w:r>
        <w:drawing>
          <wp:inline distT="0" distB="0" distL="0" distR="0">
            <wp:extent cx="59055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Business Insights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The clinic’s single largest lever is booking lead time.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Appointments booked far in advance are more than twice as likely to be missed as those booked within a week. This is actionable: a follow-up contact point timed to the booking date, not just the appointment date, would directly target the largest driver identified.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Repeat no-show patients are a smaller but real risk group.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 history roughly doubles the effect size of any other single feature except lead time, and the group is identifiable at booking time.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Reminders work, independent of lead time.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adjusted odds ratio survives the strongest confounding challenge available. Reminder infrastructure is a defensible investment.</w:t>
      </w:r>
    </w:p>
    <w:p>
      <w:pPr>
        <w:pStyle w:val="ListParagraph"/>
        <w:numPr>
          <w:ilvl w:val="0"/>
          <w:numId w:val="1"/>
        </w:numPr>
        <w:spacing w:after="1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Channel choice is a minor lever, not a major one.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build a channel-switching campaign on the current evidence — the confidence intervals overlap too much to justify the cost.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Recommendations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500"/>
        <w:gridCol w:w="3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Prioritise a lead-time-triggered follow-up for appointments booked more than 30 days out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strongest, most stable driver (V=0.285, holds in 14/15 segments)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 patients with 2+ prior no-shows for lightweight proactive contact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second driver; identifiable at booking time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Continue sending reminders as standard practice; do not deprioritise based on channel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Effect is real and independent of lead time; channel ranking not statistically settled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 not build appointment-type-specific booking policies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 priority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Statistically detectable but practically negligible (pseudo-R² gain 0.0013)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Commission a randomised reminder pilot before scaling any reminder policy further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current findings are observational, not causal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Analytical Limitations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Observational, not causal.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intervention has been tested; associations, however strong, do not prove that changing lead-time policy will change behaviour.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Small-segment power.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Segments below roughly 150 records (e.g. the "prefer not to say" gender category) cannot reliably confirm effects of the size found here.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Effect size ceiling.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 the corrected Cramér’s V of 0.285 is a small-to-moderate effect. These features alone will not produce a highly accurate predictive model, and Data Science has been told this directly.</w:t>
      </w:r>
    </w:p>
    <w:p>
      <w:pPr>
        <w:pStyle w:val="ListParagraph"/>
        <w:numPr>
          <w:ilvl w:val="0"/>
          <w:numId w:val="1"/>
        </w:numPr>
        <w:spacing w:after="1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Dataset representativeness.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48–51% no-show rate is far higher than typical real-world clinics. Findings should be read as methodologically demonstrated, not as literal HealthConnect operating figures.</w:t>
      </w:r>
    </w:p>
    <w:p>
      <w:pPr>
        <w:pStyle w:val="ListParagraph"/>
        <w:numPr>
          <w:ilvl w:val="0"/>
          <w:numId w:val="1"/>
        </w:numPr>
        <w:spacing w:after="1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Unresolved from earlier weeks.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Sunday appointment records remain unreconciled against Knowledge Base opening hours — deliberately deprioritised, as day-of-week is not a significant predictor (p=0.38).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Cross-Track Contribution — Final Integration Record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Track collaborated with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Science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Their final model feature selection and documentation build on this track’s feature-relevance artefact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Output received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Confirmation of their baseline feature set and their intended use of the Week 6/7 artefact in final model documentation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Output provided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HealthConnect_Week7_Feature_Relevance_v2.csv — corrected p-values, corrected effect sizes, and an adjusted odds ratio for reminder_sent that survives a lead-time confounding challenge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Final integration activity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Confirmed the v2 artefact is the one referenced in their final model write-up, and that their stated reason for deprioritising appointment_type now matches the corrected evidence rather than the original (incorrect) Week 6 statement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Science’s final documentation cites accurate statistics rather than an artefact known to contain an error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How it improved the solution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HealthConnect final model and business recommendations rest on the same, corrected evidence base rather than two tracks quoting different numbers for the same features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outputs/HealthConnect_Week7_Feature_Relevance_v2.csv; outputs/week7_issue_log.csv (HC-W7-02)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Contribution to final presentation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Demonstrates the HC-POD’s testing discipline: an error was caught, corrected, and the correction was propagated to the dependent track before final submission — not just fixed locally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Executive Summary</w:t>
      </w:r>
    </w:p>
    <w:p>
      <w:pPr>
        <w:spacing w:after="120" w:line="26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HealthConnect’s appointment data confirms three independent, statistically validated drivers of missed appointments: how far in advance a visit is booked, whether the patient has missed appointments before, and whether a reminder was sent. Booking lead time is by far the strongest — no-show risk more than doubles between same-week and two-month-ahead bookings — and this holds consistently across almost every patient segment tested. A reminder-based intervention has a real, independent effect that survives rigorous testing against the strongest alternative explanation. Week 7 testing caught and corrected a specification error in the original analysis, and the corrected findings are stronger than first reported, not weaker. The clearest business action for HealthConnect is a lead-time-triggered contact policy for appointments booked more than a month ahead, backed by continued investment in reminder infrastructure. All findings remain observational — the next step to make them actionable with confidence is a small randomised reminder pilot.</w:t>
      </w:r>
    </w:p>
    <w:p>
      <w:pPr>
        <w:pBdr>
          <w:bottom w:val="single" w:color="D0D0D0" w:sz="6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64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Full evidence: week7_testing_validation_record.csv | week7_issue_log.csv | HealthConnect_Week7_Feature_Relevance_v2.csv | week7_refined_dashboard.png | notebooks/HealthConnect_Week7_Testing_Refinement.ipynb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27c598b7bcff812ccceaea18b1bc8dddc31e2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2026-09-21T16:01:06.447Z</dcterms:created>
  <dcterms:modified xsi:type="dcterms:W3CDTF">2026-09-21T16:01:06.447Z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