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9A227"/>
          <w:sz w:val="20"/>
          <w:szCs w:val="20"/>
        </w:rPr>
        <w:t xml:space="preserve">ANALYSTLAB AFRICA</w:t>
      </w:r>
    </w:p>
    <w:p>
      <w:pPr>
        <w:pBdr>
          <w:bottom w:val="single" w:color="1F3864" w:sz="8" w:space="8"/>
        </w:pBdr>
        <w:spacing w:after="240"/>
        <w:jc w:val="center"/>
      </w:pPr>
      <w:r>
        <w:rPr>
          <w:b/>
          <w:bCs/>
          <w:color w:val="1F3864"/>
          <w:sz w:val="34"/>
          <w:szCs w:val="34"/>
        </w:rPr>
        <w:t xml:space="preserve">Business Insights &amp; Recommendations</w:t>
      </w:r>
    </w:p>
    <w:p>
      <w:pPr>
        <w:spacing w:after="60"/>
        <w:jc w:val="center"/>
      </w:pPr>
      <w:r>
        <w:rPr>
          <w:i/>
          <w:iCs/>
          <w:color w:val="595959"/>
          <w:sz w:val="20"/>
          <w:szCs w:val="20"/>
        </w:rPr>
        <w:t xml:space="preserve">Superstore Sales Dashboard — Week 2 Business Analytics Case Study</w:t>
      </w:r>
    </w:p>
    <w:p>
      <w:pPr>
        <w:spacing w:after="320"/>
        <w:jc w:val="center"/>
      </w:pPr>
      <w:r>
        <w:rPr>
          <w:color w:val="595959"/>
          <w:sz w:val="18"/>
          <w:szCs w:val="18"/>
        </w:rPr>
        <w:t xml:space="preserve">Prepared by: [Your Name]  |  AnalystLab Africa Consulting</w:t>
      </w:r>
    </w:p>
    <w:p>
      <w:pPr>
        <w:pStyle w:val="Heading1"/>
        <w:spacing w:after="150" w:before="320"/>
      </w:pPr>
      <w:r>
        <w:rPr>
          <w:b/>
          <w:bCs/>
          <w:color w:val="1F3864"/>
          <w:sz w:val="26"/>
          <w:szCs w:val="26"/>
        </w:rPr>
        <w:t xml:space="preserve">Key Business Insights</w:t>
      </w:r>
    </w:p>
    <w:p>
      <w:pPr>
        <w:spacing w:after="60" w:before="160"/>
      </w:pPr>
      <w:r>
        <w:rPr>
          <w:b/>
          <w:bCs/>
          <w:color w:val="1F3864"/>
          <w:sz w:val="23"/>
          <w:szCs w:val="23"/>
        </w:rPr>
        <w:t xml:space="preserve">1. </w:t>
      </w:r>
      <w:r>
        <w:rPr>
          <w:b/>
          <w:bCs/>
          <w:color w:val="262626"/>
          <w:sz w:val="23"/>
          <w:szCs w:val="23"/>
        </w:rPr>
        <w:t xml:space="preserve">Technology and Office Supplies drive profit; Furniture barely breaks even.</w:t>
      </w:r>
    </w:p>
    <w:p>
      <w:pPr>
        <w:spacing w:after="60"/>
        <w:ind w:left="200"/>
        <w:jc w:val="both"/>
      </w:pPr>
      <w:r>
        <w:rPr>
          <w:color w:val="262626"/>
          <w:sz w:val="22"/>
          <w:szCs w:val="22"/>
        </w:rPr>
        <w:t xml:space="preserve">Technology and Office Supplies each convert roughly 17% of sales into profit, while Furniture converts under 2.5% despite generating nearly as much revenue as Technology. Furniture is a high-revenue, low-return category.</w:t>
      </w:r>
    </w:p>
    <w:p>
      <w:pPr>
        <w:spacing w:after="200" w:line="260"/>
        <w:ind w:left="200"/>
      </w:pPr>
      <w:r>
        <w:rPr>
          <w:b/>
          <w:bCs/>
          <w:i/>
          <w:iCs/>
          <w:color w:val="595959"/>
          <w:sz w:val="20"/>
          <w:szCs w:val="20"/>
        </w:rPr>
        <w:t xml:space="preserve">Evidence: </w:t>
      </w:r>
      <w:r>
        <w:rPr>
          <w:i/>
          <w:iCs/>
          <w:color w:val="595959"/>
          <w:sz w:val="20"/>
          <w:szCs w:val="20"/>
        </w:rPr>
        <w:t xml:space="preserve">Category profit margins — Technology 17.4%, Office Supplies 17.0%, Furniture 2.5% (Sales: Technology $836K, Furniture $742K, Office Supplies $719K).</w:t>
      </w:r>
    </w:p>
    <w:p>
      <w:pPr>
        <w:spacing w:after="60" w:before="160"/>
      </w:pPr>
      <w:r>
        <w:rPr>
          <w:b/>
          <w:bCs/>
          <w:color w:val="1F3864"/>
          <w:sz w:val="23"/>
          <w:szCs w:val="23"/>
        </w:rPr>
        <w:t xml:space="preserve">2. </w:t>
      </w:r>
      <w:r>
        <w:rPr>
          <w:b/>
          <w:bCs/>
          <w:color w:val="262626"/>
          <w:sz w:val="23"/>
          <w:szCs w:val="23"/>
        </w:rPr>
        <w:t xml:space="preserve">Tables and Bookcases are losing money outright.</w:t>
      </w:r>
    </w:p>
    <w:p>
      <w:pPr>
        <w:spacing w:after="60"/>
        <w:ind w:left="200"/>
        <w:jc w:val="both"/>
      </w:pPr>
      <w:r>
        <w:rPr>
          <w:color w:val="262626"/>
          <w:sz w:val="22"/>
          <w:szCs w:val="22"/>
        </w:rPr>
        <w:t xml:space="preserve">Two Furniture sub-categories are unprofitable overall: Tables lose money on every dollar sold on average, and Bookcases are also net-negative. Together they explain most of Furniture's weak category performance.</w:t>
      </w:r>
    </w:p>
    <w:p>
      <w:pPr>
        <w:spacing w:after="200" w:line="260"/>
        <w:ind w:left="200"/>
      </w:pPr>
      <w:r>
        <w:rPr>
          <w:b/>
          <w:bCs/>
          <w:i/>
          <w:iCs/>
          <w:color w:val="595959"/>
          <w:sz w:val="20"/>
          <w:szCs w:val="20"/>
        </w:rPr>
        <w:t xml:space="preserve">Evidence: </w:t>
      </w:r>
      <w:r>
        <w:rPr>
          <w:i/>
          <w:iCs/>
          <w:color w:val="595959"/>
          <w:sz w:val="20"/>
          <w:szCs w:val="20"/>
        </w:rPr>
        <w:t xml:space="preserve">Tables: $206,966 in sales but –$17,725 profit (–8.6% margin). Bookcases: $114,880 in sales but –$3,473 profit (–3.0% margin).</w:t>
      </w:r>
    </w:p>
    <w:p>
      <w:pPr>
        <w:spacing w:after="60" w:before="160"/>
      </w:pPr>
      <w:r>
        <w:rPr>
          <w:b/>
          <w:bCs/>
          <w:color w:val="1F3864"/>
          <w:sz w:val="23"/>
          <w:szCs w:val="23"/>
        </w:rPr>
        <w:t xml:space="preserve">3. </w:t>
      </w:r>
      <w:r>
        <w:rPr>
          <w:b/>
          <w:bCs/>
          <w:color w:val="262626"/>
          <w:sz w:val="23"/>
          <w:szCs w:val="23"/>
        </w:rPr>
        <w:t xml:space="preserve">The West and East regions outperform Central and South on both sales and profitability.</w:t>
      </w:r>
    </w:p>
    <w:p>
      <w:pPr>
        <w:spacing w:after="60"/>
        <w:ind w:left="200"/>
        <w:jc w:val="both"/>
      </w:pPr>
      <w:r>
        <w:rPr>
          <w:color w:val="262626"/>
          <w:sz w:val="22"/>
          <w:szCs w:val="22"/>
        </w:rPr>
        <w:t xml:space="preserve">West and East together generate about 61% of total sales and carry the two highest profit margins. Central lags well behind on margin despite being the third-largest region by revenue.</w:t>
      </w:r>
    </w:p>
    <w:p>
      <w:pPr>
        <w:spacing w:after="200" w:line="260"/>
        <w:ind w:left="200"/>
      </w:pPr>
      <w:r>
        <w:rPr>
          <w:b/>
          <w:bCs/>
          <w:i/>
          <w:iCs/>
          <w:color w:val="595959"/>
          <w:sz w:val="20"/>
          <w:szCs w:val="20"/>
        </w:rPr>
        <w:t xml:space="preserve">Evidence: </w:t>
      </w:r>
      <w:r>
        <w:rPr>
          <w:i/>
          <w:iCs/>
          <w:color w:val="595959"/>
          <w:sz w:val="20"/>
          <w:szCs w:val="20"/>
        </w:rPr>
        <w:t xml:space="preserve">Margins — West 14.9%, East 13.5%, South 11.9%, Central 7.9% (Central sales: $501,240, profit: $39,706).</w:t>
      </w:r>
    </w:p>
    <w:p>
      <w:pPr>
        <w:spacing w:after="60" w:before="160"/>
      </w:pPr>
      <w:r>
        <w:rPr>
          <w:b/>
          <w:bCs/>
          <w:color w:val="1F3864"/>
          <w:sz w:val="23"/>
          <w:szCs w:val="23"/>
        </w:rPr>
        <w:t xml:space="preserve">4. </w:t>
      </w:r>
      <w:r>
        <w:rPr>
          <w:b/>
          <w:bCs/>
          <w:color w:val="262626"/>
          <w:sz w:val="23"/>
          <w:szCs w:val="23"/>
        </w:rPr>
        <w:t xml:space="preserve">Heavy discounting is strongly associated with losses.</w:t>
      </w:r>
    </w:p>
    <w:p>
      <w:pPr>
        <w:spacing w:after="60"/>
        <w:ind w:left="200"/>
        <w:jc w:val="both"/>
      </w:pPr>
      <w:r>
        <w:rPr>
          <w:color w:val="262626"/>
          <w:sz w:val="22"/>
          <w:szCs w:val="22"/>
        </w:rPr>
        <w:t xml:space="preserve">Orders discounted above 30% collectively lost money for the company, and discount level has a negative correlation with profit across the full dataset. Discounting is functioning as a profit drain rather than a controlled promotional lever.</w:t>
      </w:r>
    </w:p>
    <w:p>
      <w:pPr>
        <w:spacing w:after="200" w:line="260"/>
        <w:ind w:left="200"/>
      </w:pPr>
      <w:r>
        <w:rPr>
          <w:b/>
          <w:bCs/>
          <w:i/>
          <w:iCs/>
          <w:color w:val="595959"/>
          <w:sz w:val="20"/>
          <w:szCs w:val="20"/>
        </w:rPr>
        <w:t xml:space="preserve">Evidence: </w:t>
      </w:r>
      <w:r>
        <w:rPr>
          <w:i/>
          <w:iCs/>
          <w:color w:val="595959"/>
          <w:sz w:val="20"/>
          <w:szCs w:val="20"/>
        </w:rPr>
        <w:t xml:space="preserve">1,166 orders had discounts above 30%, contributing a combined –$125,007 in profit. Correlation between Discount and Profit across all orders: –0.22.</w:t>
      </w:r>
    </w:p>
    <w:p>
      <w:pPr>
        <w:spacing w:after="60" w:before="160"/>
      </w:pPr>
      <w:r>
        <w:rPr>
          <w:b/>
          <w:bCs/>
          <w:color w:val="1F3864"/>
          <w:sz w:val="23"/>
          <w:szCs w:val="23"/>
        </w:rPr>
        <w:t xml:space="preserve">5. </w:t>
      </w:r>
      <w:r>
        <w:rPr>
          <w:b/>
          <w:bCs/>
          <w:color w:val="262626"/>
          <w:sz w:val="23"/>
          <w:szCs w:val="23"/>
        </w:rPr>
        <w:t xml:space="preserve">Consumer is the largest segment by revenue, but Home Office is the most profitable per dollar sold.</w:t>
      </w:r>
    </w:p>
    <w:p>
      <w:pPr>
        <w:spacing w:after="60"/>
        <w:ind w:left="200"/>
        <w:jc w:val="both"/>
      </w:pPr>
      <w:r>
        <w:rPr>
          <w:color w:val="262626"/>
          <w:sz w:val="22"/>
          <w:szCs w:val="22"/>
        </w:rPr>
        <w:t xml:space="preserve">Consumer drives the most total revenue and profit in absolute terms, but Home Office converts sales to profit most efficiently, followed by Corporate. This suggests an opportunity to grow the smaller but higher-margin segments.</w:t>
      </w:r>
    </w:p>
    <w:p>
      <w:pPr>
        <w:spacing w:after="200" w:line="260"/>
        <w:ind w:left="200"/>
      </w:pPr>
      <w:r>
        <w:rPr>
          <w:b/>
          <w:bCs/>
          <w:i/>
          <w:iCs/>
          <w:color w:val="595959"/>
          <w:sz w:val="20"/>
          <w:szCs w:val="20"/>
        </w:rPr>
        <w:t xml:space="preserve">Evidence: </w:t>
      </w:r>
      <w:r>
        <w:rPr>
          <w:i/>
          <w:iCs/>
          <w:color w:val="595959"/>
          <w:sz w:val="20"/>
          <w:szCs w:val="20"/>
        </w:rPr>
        <w:t xml:space="preserve">Margins — Home Office 14.0%, Corporate 13.0%, Consumer 11.5% (Consumer sales: $1.16M, the largest of the three segments).</w:t>
      </w:r>
    </w:p>
    <w:p>
      <w:pPr>
        <w:pStyle w:val="Heading1"/>
        <w:spacing w:after="150" w:before="320"/>
      </w:pPr>
      <w:r>
        <w:rPr>
          <w:b/>
          <w:bCs/>
          <w:color w:val="1F3864"/>
          <w:sz w:val="26"/>
          <w:szCs w:val="26"/>
        </w:rPr>
        <w:t xml:space="preserve">Business Risks</w:t>
      </w:r>
    </w:p>
    <w:p>
      <w:pPr>
        <w:spacing w:after="60" w:before="160"/>
      </w:pPr>
      <w:r>
        <w:rPr>
          <w:b/>
          <w:bCs/>
          <w:color w:val="E34948"/>
          <w:sz w:val="23"/>
          <w:szCs w:val="23"/>
        </w:rPr>
        <w:t xml:space="preserve">1. </w:t>
      </w:r>
      <w:r>
        <w:rPr>
          <w:b/>
          <w:bCs/>
          <w:color w:val="262626"/>
          <w:sz w:val="23"/>
          <w:szCs w:val="23"/>
        </w:rPr>
        <w:t xml:space="preserve">Structural losses in the Furniture category.</w:t>
      </w:r>
    </w:p>
    <w:p>
      <w:pPr>
        <w:spacing w:after="60"/>
        <w:ind w:left="200"/>
        <w:jc w:val="both"/>
      </w:pPr>
      <w:r>
        <w:rPr>
          <w:color w:val="262626"/>
          <w:sz w:val="22"/>
          <w:szCs w:val="22"/>
        </w:rPr>
        <w:t xml:space="preserve">Tables and Bookcases are not occasional loss-makers — they are structurally unprofitable across thousands of orders. Continuing to stock and sell them at current pricing and discount levels steadily erodes overall company profit.</w:t>
      </w:r>
    </w:p>
    <w:p>
      <w:pPr>
        <w:spacing w:after="200" w:line="260"/>
        <w:ind w:left="200"/>
      </w:pPr>
      <w:r>
        <w:rPr>
          <w:b/>
          <w:bCs/>
          <w:i/>
          <w:iCs/>
          <w:color w:val="595959"/>
          <w:sz w:val="20"/>
          <w:szCs w:val="20"/>
        </w:rPr>
        <w:t xml:space="preserve">Evidence: </w:t>
      </w:r>
      <w:r>
        <w:rPr>
          <w:i/>
          <w:iCs/>
          <w:color w:val="595959"/>
          <w:sz w:val="20"/>
          <w:szCs w:val="20"/>
        </w:rPr>
        <w:t xml:space="preserve">Combined Tables + Bookcases loss: –$21,198, against $321,846 in combined sales.</w:t>
      </w:r>
    </w:p>
    <w:p>
      <w:pPr>
        <w:spacing w:after="60" w:before="160"/>
      </w:pPr>
      <w:r>
        <w:rPr>
          <w:b/>
          <w:bCs/>
          <w:color w:val="E34948"/>
          <w:sz w:val="23"/>
          <w:szCs w:val="23"/>
        </w:rPr>
        <w:t xml:space="preserve">2. </w:t>
      </w:r>
      <w:r>
        <w:rPr>
          <w:b/>
          <w:bCs/>
          <w:color w:val="262626"/>
          <w:sz w:val="23"/>
          <w:szCs w:val="23"/>
        </w:rPr>
        <w:t xml:space="preserve">Discount policy is not tied to profitability guardrails.</w:t>
      </w:r>
    </w:p>
    <w:p>
      <w:pPr>
        <w:spacing w:after="60"/>
        <w:ind w:left="200"/>
        <w:jc w:val="both"/>
      </w:pPr>
      <w:r>
        <w:rPr>
          <w:color w:val="262626"/>
          <w:sz w:val="22"/>
          <w:szCs w:val="22"/>
        </w:rPr>
        <w:t xml:space="preserve">With 18.7% of all line items sold at a loss, and losses concentrated among heavily discounted orders, the business has no apparent floor preventing discounts from being applied on already low-margin products.</w:t>
      </w:r>
    </w:p>
    <w:p>
      <w:pPr>
        <w:spacing w:after="200" w:line="260"/>
        <w:ind w:left="200"/>
      </w:pPr>
      <w:r>
        <w:rPr>
          <w:b/>
          <w:bCs/>
          <w:i/>
          <w:iCs/>
          <w:color w:val="595959"/>
          <w:sz w:val="20"/>
          <w:szCs w:val="20"/>
        </w:rPr>
        <w:t xml:space="preserve">Evidence: </w:t>
      </w:r>
      <w:r>
        <w:rPr>
          <w:i/>
          <w:iCs/>
          <w:color w:val="595959"/>
          <w:sz w:val="20"/>
          <w:szCs w:val="20"/>
        </w:rPr>
        <w:t xml:space="preserve">1,871 loss-making line items totaling –$156,131 in losses; the majority overlap with orders discounted above 30%.</w:t>
      </w:r>
    </w:p>
    <w:p>
      <w:pPr>
        <w:spacing w:after="60" w:before="160"/>
      </w:pPr>
      <w:r>
        <w:rPr>
          <w:b/>
          <w:bCs/>
          <w:color w:val="E34948"/>
          <w:sz w:val="23"/>
          <w:szCs w:val="23"/>
        </w:rPr>
        <w:t xml:space="preserve">3. </w:t>
      </w:r>
      <w:r>
        <w:rPr>
          <w:b/>
          <w:bCs/>
          <w:color w:val="262626"/>
          <w:sz w:val="23"/>
          <w:szCs w:val="23"/>
        </w:rPr>
        <w:t xml:space="preserve">Regional profitability imbalance concentrates risk in Central and underperforming states.</w:t>
      </w:r>
    </w:p>
    <w:p>
      <w:pPr>
        <w:spacing w:after="60"/>
        <w:ind w:left="200"/>
        <w:jc w:val="both"/>
      </w:pPr>
      <w:r>
        <w:rPr>
          <w:color w:val="262626"/>
          <w:sz w:val="22"/>
          <w:szCs w:val="22"/>
        </w:rPr>
        <w:t xml:space="preserve">Central region's margin (7.9%) is roughly half of West's (14.9%), and several individual states — Texas, Ohio, Pennsylvania, Illinois, North Carolina — are net loss-making despite meaningful sales volume. Revenue growth in these states without a pricing/discount fix would compound losses rather than profit.</w:t>
      </w:r>
    </w:p>
    <w:p>
      <w:pPr>
        <w:spacing w:after="200" w:line="260"/>
        <w:ind w:left="200"/>
      </w:pPr>
      <w:r>
        <w:rPr>
          <w:b/>
          <w:bCs/>
          <w:i/>
          <w:iCs/>
          <w:color w:val="595959"/>
          <w:sz w:val="20"/>
          <w:szCs w:val="20"/>
        </w:rPr>
        <w:t xml:space="preserve">Evidence: </w:t>
      </w:r>
      <w:r>
        <w:rPr>
          <w:i/>
          <w:iCs/>
          <w:color w:val="595959"/>
          <w:sz w:val="20"/>
          <w:szCs w:val="20"/>
        </w:rPr>
        <w:t xml:space="preserve">Texas: $170,188 in sales but –$25,729 profit; Ohio: $78,258 in sales but –$16,971 profit.</w:t>
      </w:r>
    </w:p>
    <w:p>
      <w:pPr>
        <w:pStyle w:val="Heading1"/>
        <w:spacing w:after="150" w:before="320"/>
      </w:pPr>
      <w:r>
        <w:rPr>
          <w:b/>
          <w:bCs/>
          <w:color w:val="1F3864"/>
          <w:sz w:val="26"/>
          <w:szCs w:val="26"/>
        </w:rPr>
        <w:t xml:space="preserve">Business Opportunities</w:t>
      </w:r>
    </w:p>
    <w:p>
      <w:pPr>
        <w:spacing w:after="60" w:before="160"/>
      </w:pPr>
      <w:r>
        <w:rPr>
          <w:b/>
          <w:bCs/>
          <w:color w:val="1BAF7A"/>
          <w:sz w:val="23"/>
          <w:szCs w:val="23"/>
        </w:rPr>
        <w:t xml:space="preserve">1. </w:t>
      </w:r>
      <w:r>
        <w:rPr>
          <w:b/>
          <w:bCs/>
          <w:color w:val="262626"/>
          <w:sz w:val="23"/>
          <w:szCs w:val="23"/>
        </w:rPr>
        <w:t xml:space="preserve">Scale what already works: Technology and Office Supplies.</w:t>
      </w:r>
    </w:p>
    <w:p>
      <w:pPr>
        <w:spacing w:after="60"/>
        <w:ind w:left="200"/>
        <w:jc w:val="both"/>
      </w:pPr>
      <w:r>
        <w:rPr>
          <w:color w:val="262626"/>
          <w:sz w:val="22"/>
          <w:szCs w:val="22"/>
        </w:rPr>
        <w:t xml:space="preserve">Both categories combine strong revenue with high margins (17%+). There is room to grow these categories further through targeted marketing or expanded product range without the margin drag seen in Furniture.</w:t>
      </w:r>
    </w:p>
    <w:p>
      <w:pPr>
        <w:spacing w:after="200" w:line="260"/>
        <w:ind w:left="200"/>
      </w:pPr>
      <w:r>
        <w:rPr>
          <w:b/>
          <w:bCs/>
          <w:i/>
          <w:iCs/>
          <w:color w:val="595959"/>
          <w:sz w:val="20"/>
          <w:szCs w:val="20"/>
        </w:rPr>
        <w:t xml:space="preserve">Evidence: </w:t>
      </w:r>
      <w:r>
        <w:rPr>
          <w:i/>
          <w:iCs/>
          <w:color w:val="595959"/>
          <w:sz w:val="20"/>
          <w:szCs w:val="20"/>
        </w:rPr>
        <w:t xml:space="preserve">Technology profit: $145,455 (17.4% margin); Office Supplies profit: $122,491 (17.0% margin) — the two strongest categories in the portfolio.</w:t>
      </w:r>
    </w:p>
    <w:p>
      <w:pPr>
        <w:spacing w:after="60" w:before="160"/>
      </w:pPr>
      <w:r>
        <w:rPr>
          <w:b/>
          <w:bCs/>
          <w:color w:val="1BAF7A"/>
          <w:sz w:val="23"/>
          <w:szCs w:val="23"/>
        </w:rPr>
        <w:t xml:space="preserve">2. </w:t>
      </w:r>
      <w:r>
        <w:rPr>
          <w:b/>
          <w:bCs/>
          <w:color w:val="262626"/>
          <w:sz w:val="23"/>
          <w:szCs w:val="23"/>
        </w:rPr>
        <w:t xml:space="preserve">Grow the Home Office segment.</w:t>
      </w:r>
    </w:p>
    <w:p>
      <w:pPr>
        <w:spacing w:after="60"/>
        <w:ind w:left="200"/>
        <w:jc w:val="both"/>
      </w:pPr>
      <w:r>
        <w:rPr>
          <w:color w:val="262626"/>
          <w:sz w:val="22"/>
          <w:szCs w:val="22"/>
        </w:rPr>
        <w:t xml:space="preserve">Home Office is currently the smallest segment by revenue but the most profitable per dollar sold. Even modest revenue growth here would add profit more efficiently than equivalent growth in Consumer.</w:t>
      </w:r>
    </w:p>
    <w:p>
      <w:pPr>
        <w:spacing w:after="200" w:line="260"/>
        <w:ind w:left="200"/>
      </w:pPr>
      <w:r>
        <w:rPr>
          <w:b/>
          <w:bCs/>
          <w:i/>
          <w:iCs/>
          <w:color w:val="595959"/>
          <w:sz w:val="20"/>
          <w:szCs w:val="20"/>
        </w:rPr>
        <w:t xml:space="preserve">Evidence: </w:t>
      </w:r>
      <w:r>
        <w:rPr>
          <w:i/>
          <w:iCs/>
          <w:color w:val="595959"/>
          <w:sz w:val="20"/>
          <w:szCs w:val="20"/>
        </w:rPr>
        <w:t xml:space="preserve">Home Office: $429,653 in sales at 14.0% margin, the highest margin of the three segments, versus Consumer's 11.5%.</w:t>
      </w:r>
    </w:p>
    <w:p>
      <w:pPr>
        <w:spacing w:after="60" w:before="160"/>
      </w:pPr>
      <w:r>
        <w:rPr>
          <w:b/>
          <w:bCs/>
          <w:color w:val="1BAF7A"/>
          <w:sz w:val="23"/>
          <w:szCs w:val="23"/>
        </w:rPr>
        <w:t xml:space="preserve">3. </w:t>
      </w:r>
      <w:r>
        <w:rPr>
          <w:b/>
          <w:bCs/>
          <w:color w:val="262626"/>
          <w:sz w:val="23"/>
          <w:szCs w:val="23"/>
        </w:rPr>
        <w:t xml:space="preserve">Replicate the West region's playbook elsewhere.</w:t>
      </w:r>
    </w:p>
    <w:p>
      <w:pPr>
        <w:spacing w:after="60"/>
        <w:ind w:left="200"/>
        <w:jc w:val="both"/>
      </w:pPr>
      <w:r>
        <w:rPr>
          <w:color w:val="262626"/>
          <w:sz w:val="22"/>
          <w:szCs w:val="22"/>
        </w:rPr>
        <w:t xml:space="preserve">West leads on both sales and margin. Understanding what drives its performance — product mix, pricing discipline, customer base — gives management a template to apply to Central and underperforming states.</w:t>
      </w:r>
    </w:p>
    <w:p>
      <w:pPr>
        <w:spacing w:after="200" w:line="260"/>
        <w:ind w:left="200"/>
      </w:pPr>
      <w:r>
        <w:rPr>
          <w:b/>
          <w:bCs/>
          <w:i/>
          <w:iCs/>
          <w:color w:val="595959"/>
          <w:sz w:val="20"/>
          <w:szCs w:val="20"/>
        </w:rPr>
        <w:t xml:space="preserve">Evidence: </w:t>
      </w:r>
      <w:r>
        <w:rPr>
          <w:i/>
          <w:iCs/>
          <w:color w:val="595959"/>
          <w:sz w:val="20"/>
          <w:szCs w:val="20"/>
        </w:rPr>
        <w:t xml:space="preserve">West: $725,458 in sales at 14.9% margin — the top-performing region on both dimensions simultaneously.</w:t>
      </w:r>
    </w:p>
    <w:p>
      <w:pPr>
        <w:pStyle w:val="Heading1"/>
        <w:spacing w:after="150" w:before="320"/>
      </w:pPr>
      <w:r>
        <w:rPr>
          <w:b/>
          <w:bCs/>
          <w:color w:val="1F3864"/>
          <w:sz w:val="26"/>
          <w:szCs w:val="26"/>
        </w:rPr>
        <w:t xml:space="preserve">Business Recommendations</w:t>
      </w:r>
    </w:p>
    <w:p>
      <w:pPr>
        <w:spacing w:after="60" w:before="160"/>
      </w:pPr>
      <w:r>
        <w:rPr>
          <w:b/>
          <w:bCs/>
          <w:color w:val="1F3864"/>
          <w:sz w:val="23"/>
          <w:szCs w:val="23"/>
        </w:rPr>
        <w:t xml:space="preserve">1. </w:t>
      </w:r>
      <w:r>
        <w:rPr>
          <w:b/>
          <w:bCs/>
          <w:color w:val="262626"/>
          <w:sz w:val="23"/>
          <w:szCs w:val="23"/>
        </w:rPr>
        <w:t xml:space="preserve">Introduce a minimum-margin discount cap.</w:t>
      </w:r>
    </w:p>
    <w:p>
      <w:pPr>
        <w:spacing w:after="60"/>
        <w:ind w:left="200"/>
        <w:jc w:val="both"/>
      </w:pPr>
      <w:r>
        <w:rPr>
          <w:color w:val="262626"/>
          <w:sz w:val="22"/>
          <w:szCs w:val="22"/>
        </w:rPr>
        <w:t xml:space="preserve">Set a maximum allowable discount (e.g. 20%) on Furniture and other low-margin sub-categories, enforced at the point of sale, since discounts above 30% are already collectively loss-making.</w:t>
      </w:r>
    </w:p>
    <w:p>
      <w:pPr>
        <w:spacing w:after="200" w:line="260"/>
        <w:ind w:left="200"/>
      </w:pPr>
      <w:r>
        <w:rPr>
          <w:b/>
          <w:bCs/>
          <w:i/>
          <w:iCs/>
          <w:color w:val="595959"/>
          <w:sz w:val="20"/>
          <w:szCs w:val="20"/>
        </w:rPr>
        <w:t xml:space="preserve">Evidence: </w:t>
      </w:r>
      <w:r>
        <w:rPr>
          <w:i/>
          <w:iCs/>
          <w:color w:val="595959"/>
          <w:sz w:val="20"/>
          <w:szCs w:val="20"/>
        </w:rPr>
        <w:t xml:space="preserve">Orders with discounts &gt;30% lost a combined –$125,007; capping discounts removes the single clearest source of avoidable loss.</w:t>
      </w:r>
    </w:p>
    <w:p>
      <w:pPr>
        <w:spacing w:after="60" w:before="160"/>
      </w:pPr>
      <w:r>
        <w:rPr>
          <w:b/>
          <w:bCs/>
          <w:color w:val="1F3864"/>
          <w:sz w:val="23"/>
          <w:szCs w:val="23"/>
        </w:rPr>
        <w:t xml:space="preserve">2. </w:t>
      </w:r>
      <w:r>
        <w:rPr>
          <w:b/>
          <w:bCs/>
          <w:color w:val="262626"/>
          <w:sz w:val="23"/>
          <w:szCs w:val="23"/>
        </w:rPr>
        <w:t xml:space="preserve">Review pricing and supplier costs for Tables and Bookcases.</w:t>
      </w:r>
    </w:p>
    <w:p>
      <w:pPr>
        <w:spacing w:after="60"/>
        <w:ind w:left="200"/>
        <w:jc w:val="both"/>
      </w:pPr>
      <w:r>
        <w:rPr>
          <w:color w:val="262626"/>
          <w:sz w:val="22"/>
          <w:szCs w:val="22"/>
        </w:rPr>
        <w:t xml:space="preserve">Either reprice these sub-categories to restore a positive margin, renegotiate supplier/production costs, or reduce the SKU range to the better-performing items within each sub-category.</w:t>
      </w:r>
    </w:p>
    <w:p>
      <w:pPr>
        <w:spacing w:after="200" w:line="260"/>
        <w:ind w:left="200"/>
      </w:pPr>
      <w:r>
        <w:rPr>
          <w:b/>
          <w:bCs/>
          <w:i/>
          <w:iCs/>
          <w:color w:val="595959"/>
          <w:sz w:val="20"/>
          <w:szCs w:val="20"/>
        </w:rPr>
        <w:t xml:space="preserve">Evidence: </w:t>
      </w:r>
      <w:r>
        <w:rPr>
          <w:i/>
          <w:iCs/>
          <w:color w:val="595959"/>
          <w:sz w:val="20"/>
          <w:szCs w:val="20"/>
        </w:rPr>
        <w:t xml:space="preserve">Tables (–8.6% margin) and Bookcases (–3.0% margin) are the only two sub-categories that are net loss-making overall.</w:t>
      </w:r>
    </w:p>
    <w:p>
      <w:pPr>
        <w:spacing w:after="60" w:before="160"/>
      </w:pPr>
      <w:r>
        <w:rPr>
          <w:b/>
          <w:bCs/>
          <w:color w:val="1F3864"/>
          <w:sz w:val="23"/>
          <w:szCs w:val="23"/>
        </w:rPr>
        <w:t xml:space="preserve">3. </w:t>
      </w:r>
      <w:r>
        <w:rPr>
          <w:b/>
          <w:bCs/>
          <w:color w:val="262626"/>
          <w:sz w:val="23"/>
          <w:szCs w:val="23"/>
        </w:rPr>
        <w:t xml:space="preserve">Reallocate marketing and inventory investment toward Technology and Office Supplies.</w:t>
      </w:r>
    </w:p>
    <w:p>
      <w:pPr>
        <w:spacing w:after="60"/>
        <w:ind w:left="200"/>
        <w:jc w:val="both"/>
      </w:pPr>
      <w:r>
        <w:rPr>
          <w:color w:val="262626"/>
          <w:sz w:val="22"/>
          <w:szCs w:val="22"/>
        </w:rPr>
        <w:t xml:space="preserve">Shift incremental budget toward the two categories already proven to convert sales into profit efficiently, rather than continuing to invest evenly across all three categories.</w:t>
      </w:r>
    </w:p>
    <w:p>
      <w:pPr>
        <w:spacing w:after="200" w:line="260"/>
        <w:ind w:left="200"/>
      </w:pPr>
      <w:r>
        <w:rPr>
          <w:b/>
          <w:bCs/>
          <w:i/>
          <w:iCs/>
          <w:color w:val="595959"/>
          <w:sz w:val="20"/>
          <w:szCs w:val="20"/>
        </w:rPr>
        <w:t xml:space="preserve">Evidence: </w:t>
      </w:r>
      <w:r>
        <w:rPr>
          <w:i/>
          <w:iCs/>
          <w:color w:val="595959"/>
          <w:sz w:val="20"/>
          <w:szCs w:val="20"/>
        </w:rPr>
        <w:t xml:space="preserve">Technology and Office Supplies both sustain ~17% margins versus Furniture's 2.5%.</w:t>
      </w:r>
    </w:p>
    <w:p>
      <w:pPr>
        <w:spacing w:after="60" w:before="160"/>
      </w:pPr>
      <w:r>
        <w:rPr>
          <w:b/>
          <w:bCs/>
          <w:color w:val="1F3864"/>
          <w:sz w:val="23"/>
          <w:szCs w:val="23"/>
        </w:rPr>
        <w:t xml:space="preserve">4. </w:t>
      </w:r>
      <w:r>
        <w:rPr>
          <w:b/>
          <w:bCs/>
          <w:color w:val="262626"/>
          <w:sz w:val="23"/>
          <w:szCs w:val="23"/>
        </w:rPr>
        <w:t xml:space="preserve">Launch a Central-region and underperforming-state improvement plan.</w:t>
      </w:r>
    </w:p>
    <w:p>
      <w:pPr>
        <w:spacing w:after="60"/>
        <w:ind w:left="200"/>
        <w:jc w:val="both"/>
      </w:pPr>
      <w:r>
        <w:rPr>
          <w:color w:val="262626"/>
          <w:sz w:val="22"/>
          <w:szCs w:val="22"/>
        </w:rPr>
        <w:t xml:space="preserve">Apply the pricing and discount discipline seen in West and East to Central, and specifically audit Texas, Ohio, Pennsylvania, Illinois, and North Carolina, where sales volume is meaningful but profit is negative.</w:t>
      </w:r>
    </w:p>
    <w:p>
      <w:pPr>
        <w:spacing w:after="200" w:line="260"/>
        <w:ind w:left="200"/>
      </w:pPr>
      <w:r>
        <w:rPr>
          <w:b/>
          <w:bCs/>
          <w:i/>
          <w:iCs/>
          <w:color w:val="595959"/>
          <w:sz w:val="20"/>
          <w:szCs w:val="20"/>
        </w:rPr>
        <w:t xml:space="preserve">Evidence: </w:t>
      </w:r>
      <w:r>
        <w:rPr>
          <w:i/>
          <w:iCs/>
          <w:color w:val="595959"/>
          <w:sz w:val="20"/>
          <w:szCs w:val="20"/>
        </w:rPr>
        <w:t xml:space="preserve">Central margin (7.9%) trails West (14.9%) by more than 7 points; five states are net loss-making despite combined sales above $500,000.</w:t>
      </w:r>
    </w:p>
    <w:p>
      <w:pPr>
        <w:spacing w:after="60" w:before="160"/>
      </w:pPr>
      <w:r>
        <w:rPr>
          <w:b/>
          <w:bCs/>
          <w:color w:val="1F3864"/>
          <w:sz w:val="23"/>
          <w:szCs w:val="23"/>
        </w:rPr>
        <w:t xml:space="preserve">5. </w:t>
      </w:r>
      <w:r>
        <w:rPr>
          <w:b/>
          <w:bCs/>
          <w:color w:val="262626"/>
          <w:sz w:val="23"/>
          <w:szCs w:val="23"/>
        </w:rPr>
        <w:t xml:space="preserve">Build a targeted Home Office growth campaign.</w:t>
      </w:r>
    </w:p>
    <w:p>
      <w:pPr>
        <w:spacing w:after="60"/>
        <w:ind w:left="200"/>
        <w:jc w:val="both"/>
      </w:pPr>
      <w:r>
        <w:rPr>
          <w:color w:val="262626"/>
          <w:sz w:val="22"/>
          <w:szCs w:val="22"/>
        </w:rPr>
        <w:t xml:space="preserve">Since Home Office already converts sales to profit more efficiently than Consumer or Corporate, a focused campaign (bundled office-setup products, remote-work messaging) could grow overall company profit faster than an equivalent push in the larger Consumer segment.</w:t>
      </w:r>
    </w:p>
    <w:p>
      <w:pPr>
        <w:spacing w:after="200" w:line="260"/>
        <w:ind w:left="200"/>
      </w:pPr>
      <w:r>
        <w:rPr>
          <w:b/>
          <w:bCs/>
          <w:i/>
          <w:iCs/>
          <w:color w:val="595959"/>
          <w:sz w:val="20"/>
          <w:szCs w:val="20"/>
        </w:rPr>
        <w:t xml:space="preserve">Evidence: </w:t>
      </w:r>
      <w:r>
        <w:rPr>
          <w:i/>
          <w:iCs/>
          <w:color w:val="595959"/>
          <w:sz w:val="20"/>
          <w:szCs w:val="20"/>
        </w:rPr>
        <w:t xml:space="preserve">Home Office margin (14.0%) is the highest of the three segments, while its revenue base ($429,653) leaves the most room to grow.</w:t>
      </w:r>
    </w:p>
    <w:p>
      <w:pPr>
        <w:pBdr>
          <w:top w:val="single" w:color="BFBFBF" w:sz="4" w:space="8"/>
        </w:pBdr>
        <w:spacing w:before="300"/>
      </w:pPr>
      <w:r>
        <w:rPr>
          <w:i/>
          <w:iCs/>
          <w:color w:val="595959"/>
          <w:sz w:val="16"/>
          <w:szCs w:val="16"/>
        </w:rPr>
        <w:t xml:space="preserve">AnalystLab Africa — Data Analytics Internship Programme  |  Week 2 Business Analytics Case Study  |  Figures derived from the cleaned Superstore dataset (2014–2017)</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2026-08-14T13:23:08.065Z</dcterms:created>
  <dcterms:modified xsi:type="dcterms:W3CDTF">2026-08-14T13:23:08.085Z</dcterms:modified>
</cp:coreProperties>
</file>

<file path=docProps/custom.xml><?xml version="1.0" encoding="utf-8"?>
<Properties xmlns="http://schemas.openxmlformats.org/officeDocument/2006/custom-properties" xmlns:vt="http://schemas.openxmlformats.org/officeDocument/2006/docPropsVTypes"/>
</file>