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5EAA"/>
          <w:sz w:val="56"/>
          <w:szCs w:val="56"/>
        </w:rPr>
        <w:t xml:space="preserve">Sales &amp; Customer Analytics</w:t>
      </w:r>
    </w:p>
    <w:p>
      <w:pPr>
        <w:spacing w:after="400"/>
        <w:jc w:val="center"/>
      </w:pPr>
      <w:r>
        <w:rPr>
          <w:b/>
          <w:bCs/>
          <w:color w:val="333333"/>
          <w:sz w:val="40"/>
          <w:szCs w:val="40"/>
        </w:rPr>
        <w:t xml:space="preserve">Executive Report</w:t>
      </w:r>
    </w:p>
    <w:p>
      <w:pPr>
        <w:spacing w:after="100"/>
        <w:jc w:val="center"/>
      </w:pPr>
      <w:r>
        <w:rPr>
          <w:color w:val="666666"/>
          <w:sz w:val="26"/>
          <w:szCs w:val="26"/>
        </w:rPr>
        <w:t xml:space="preserve">Data Analytics Project — Phases 3 to 5</w:t>
      </w:r>
    </w:p>
    <w:p>
      <w:pPr>
        <w:spacing w:after="100"/>
        <w:jc w:val="center"/>
      </w:pPr>
      <w:r>
        <w:rPr>
          <w:color w:val="888888"/>
          <w:sz w:val="22"/>
          <w:szCs w:val="22"/>
        </w:rPr>
        <w:t xml:space="preserve">Dataset: 1,200 Orders | Period: Jan 2023 – Jun 2025</w:t>
      </w:r>
    </w:p>
    <w:p>
      <w:pPr>
        <w:jc w:val="center"/>
      </w:pPr>
      <w:r>
        <w:rPr>
          <w:color w:val="888888"/>
          <w:sz w:val="22"/>
          <w:szCs w:val="22"/>
        </w:rPr>
        <w:t xml:space="preserve">Prepared: July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150"/>
      </w:pPr>
      <w:r>
        <w:t xml:space="preserve">This report presents a full exploratory analysis of 1,200 e-commerce orders placed between January 2023 and June 2025, covering 1,189 unique customers across seven product lines. The business generated $1,264,761.96 in total revenue at an average order value of $1,053.97. The analysis surfaces two urgent, connected issues: an unusually low repeat-purchase rate (0.93%) and a very high combined Cancelled/Returned rate that erased 41.09% of gross revenue. Product, payment method, and referral source performance are all remarkably even across categories, which suggests the business does not yet have a clearly differentiated "hero" product or channel — an opportunity as much as a risk.</w:t>
      </w:r>
    </w:p>
    <w:p>
      <w:pPr>
        <w:spacing w:after="150"/>
      </w:pPr>
      <w:r>
        <w:t xml:space="preserve">The sections below walk through sales performance, product and customer behavior, payment and fulfillment patterns, promotional effectiveness, and time trends, followed by concrete recommendations.</w:t>
      </w:r>
    </w:p>
    <w:p>
      <w:pPr>
        <w:pStyle w:val="Heading1"/>
        <w:spacing w:after="200" w:before="400"/>
      </w:pPr>
      <w:r>
        <w:t xml:space="preserve">Key Findings</w:t>
      </w:r>
    </w:p>
    <w:p>
      <w:pPr>
        <w:pStyle w:val="Heading2"/>
        <w:spacing w:after="150" w:before="300"/>
      </w:pPr>
      <w:r>
        <w:t xml:space="preserve">1. Overall Sales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</w:tcPr>
          <w:p>
            <w:pPr>
              <w:spacing w:after="150"/>
            </w:pPr>
            <w:r>
              <w:t xml:space="preserve">Total Orders</w:t>
            </w:r>
          </w:p>
        </w:tc>
        <w:tc>
          <w:tcPr>
            <w:tcW w:type="dxa" w:w="4680"/>
          </w:tcPr>
          <w:p>
            <w:pPr>
              <w:spacing w:after="150"/>
            </w:pPr>
            <w:r>
              <w:t xml:space="preserve">1,200</w:t>
            </w:r>
          </w:p>
        </w:tc>
      </w:tr>
      <w:tr>
        <w:tc>
          <w:tcPr>
            <w:tcW w:type="dxa" w:w="4680"/>
          </w:tcPr>
          <w:p>
            <w:pPr>
              <w:spacing w:after="150"/>
            </w:pPr>
            <w:r>
              <w:t xml:space="preserve">Total Revenue</w:t>
            </w:r>
          </w:p>
        </w:tc>
        <w:tc>
          <w:tcPr>
            <w:tcW w:type="dxa" w:w="4680"/>
          </w:tcPr>
          <w:p>
            <w:pPr>
              <w:spacing w:after="150"/>
            </w:pPr>
            <w:r>
              <w:t xml:space="preserve">$1,264,761.96</w:t>
            </w:r>
          </w:p>
        </w:tc>
      </w:tr>
      <w:tr>
        <w:tc>
          <w:tcPr>
            <w:tcW w:type="dxa" w:w="4680"/>
          </w:tcPr>
          <w:p>
            <w:pPr>
              <w:spacing w:after="150"/>
            </w:pPr>
            <w:r>
              <w:t xml:space="preserve">Average Order Value</w:t>
            </w:r>
          </w:p>
        </w:tc>
        <w:tc>
          <w:tcPr>
            <w:tcW w:type="dxa" w:w="4680"/>
          </w:tcPr>
          <w:p>
            <w:pPr>
              <w:spacing w:after="150"/>
            </w:pPr>
            <w:r>
              <w:t xml:space="preserve">$1,053.97</w:t>
            </w:r>
          </w:p>
        </w:tc>
      </w:tr>
      <w:tr>
        <w:tc>
          <w:tcPr>
            <w:tcW w:type="dxa" w:w="4680"/>
          </w:tcPr>
          <w:p>
            <w:pPr>
              <w:spacing w:after="150"/>
            </w:pPr>
            <w:r>
              <w:t xml:space="preserve">Total Quantity Sold</w:t>
            </w:r>
          </w:p>
        </w:tc>
        <w:tc>
          <w:tcPr>
            <w:tcW w:type="dxa" w:w="4680"/>
          </w:tcPr>
          <w:p>
            <w:pPr>
              <w:spacing w:after="150"/>
            </w:pPr>
            <w:r>
              <w:t xml:space="preserve">3,535 units</w:t>
            </w:r>
          </w:p>
        </w:tc>
      </w:tr>
      <w:tr>
        <w:tc>
          <w:tcPr>
            <w:tcW w:type="dxa" w:w="4680"/>
          </w:tcPr>
          <w:p>
            <w:pPr>
              <w:spacing w:after="150"/>
            </w:pPr>
            <w:r>
              <w:t xml:space="preserve">Average Quantity per Order</w:t>
            </w:r>
          </w:p>
        </w:tc>
        <w:tc>
          <w:tcPr>
            <w:tcW w:type="dxa" w:w="4680"/>
          </w:tcPr>
          <w:p>
            <w:pPr>
              <w:spacing w:after="150"/>
            </w:pPr>
            <w:r>
              <w:t xml:space="preserve">2.95 units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1. Monthly revenue trend, Jan 2023 – Jun 2025</w:t>
      </w:r>
    </w:p>
    <w:p>
      <w:pPr>
        <w:spacing w:after="150"/>
      </w:pPr>
      <w:r>
        <w:t xml:space="preserve">Monthly revenue fluctuates in the $27K-$68K range with no sustained upward or downward trend, indicating flat overall growth over the two-and-a-half-year period rather than seasonal or structural momentum.</w:t>
      </w:r>
    </w:p>
    <w:p>
      <w:pPr>
        <w:pStyle w:val="Heading2"/>
        <w:spacing w:after="150" w:before="300"/>
      </w:pPr>
      <w:r>
        <w:t xml:space="preserve">2. Product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900"/>
        <w:gridCol w:w="2260"/>
        <w:gridCol w:w="1300"/>
      </w:tblGrid>
      <w:tr>
        <w:tc>
          <w:tcPr>
            <w:tcW w:type="dxa" w:w="220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Product</w:t>
            </w:r>
          </w:p>
        </w:tc>
        <w:tc>
          <w:tcPr>
            <w:tcW w:type="dxa" w:w="170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Orders</w:t>
            </w:r>
          </w:p>
        </w:tc>
        <w:tc>
          <w:tcPr>
            <w:tcW w:type="dxa" w:w="190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Units Sold</w:t>
            </w:r>
          </w:p>
        </w:tc>
        <w:tc>
          <w:tcPr>
            <w:tcW w:type="dxa" w:w="226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Revenue</w:t>
            </w:r>
          </w:p>
        </w:tc>
        <w:tc>
          <w:tcPr>
            <w:tcW w:type="dxa" w:w="130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Revenue Share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 xml:space="preserve">Chair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t xml:space="preserve">178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t xml:space="preserve">562</w:t>
            </w:r>
          </w:p>
        </w:tc>
        <w:tc>
          <w:tcPr>
            <w:tcW w:type="dxa" w:w="2260"/>
          </w:tcPr>
          <w:p>
            <w:pPr>
              <w:jc w:val="center"/>
            </w:pPr>
            <w:r>
              <w:t xml:space="preserve">$195,620.11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t xml:space="preserve">15.47%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 xml:space="preserve">Printer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t xml:space="preserve">181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t xml:space="preserve">542</w:t>
            </w:r>
          </w:p>
        </w:tc>
        <w:tc>
          <w:tcPr>
            <w:tcW w:type="dxa" w:w="2260"/>
          </w:tcPr>
          <w:p>
            <w:pPr>
              <w:jc w:val="center"/>
            </w:pPr>
            <w:r>
              <w:t xml:space="preserve">$195,612.61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t xml:space="preserve">15.47%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 xml:space="preserve">Laptop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t xml:space="preserve">173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t xml:space="preserve">535</w:t>
            </w:r>
          </w:p>
        </w:tc>
        <w:tc>
          <w:tcPr>
            <w:tcW w:type="dxa" w:w="2260"/>
          </w:tcPr>
          <w:p>
            <w:pPr>
              <w:jc w:val="center"/>
            </w:pPr>
            <w:r>
              <w:t xml:space="preserve">$192,126.56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t xml:space="preserve">15.19%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 xml:space="preserve">Tablet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t xml:space="preserve">179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t xml:space="preserve">497</w:t>
            </w:r>
          </w:p>
        </w:tc>
        <w:tc>
          <w:tcPr>
            <w:tcW w:type="dxa" w:w="2260"/>
          </w:tcPr>
          <w:p>
            <w:pPr>
              <w:jc w:val="center"/>
            </w:pPr>
            <w:r>
              <w:t xml:space="preserve">$186,568.95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t xml:space="preserve">14.75%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 xml:space="preserve">Monitor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t xml:space="preserve">163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t xml:space="preserve">480</w:t>
            </w:r>
          </w:p>
        </w:tc>
        <w:tc>
          <w:tcPr>
            <w:tcW w:type="dxa" w:w="2260"/>
          </w:tcPr>
          <w:p>
            <w:pPr>
              <w:jc w:val="center"/>
            </w:pPr>
            <w:r>
              <w:t xml:space="preserve">$175,651.41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t xml:space="preserve">13.89%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 xml:space="preserve">Desk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t xml:space="preserve">170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t xml:space="preserve">508</w:t>
            </w:r>
          </w:p>
        </w:tc>
        <w:tc>
          <w:tcPr>
            <w:tcW w:type="dxa" w:w="2260"/>
          </w:tcPr>
          <w:p>
            <w:pPr>
              <w:jc w:val="center"/>
            </w:pPr>
            <w:r>
              <w:t xml:space="preserve">$167,459.93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t xml:space="preserve">13.24%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 xml:space="preserve">Phone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t xml:space="preserve">156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t xml:space="preserve">411</w:t>
            </w:r>
          </w:p>
        </w:tc>
        <w:tc>
          <w:tcPr>
            <w:tcW w:type="dxa" w:w="2260"/>
          </w:tcPr>
          <w:p>
            <w:pPr>
              <w:jc w:val="center"/>
            </w:pPr>
            <w:r>
              <w:t xml:space="preserve">$151,722.39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t xml:space="preserve">12.00%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2. Revenue by product category</w:t>
      </w:r>
    </w:p>
    <w:p>
      <w:pPr>
        <w:spacing w:after="150"/>
      </w:pPr>
      <w:r>
        <w:t xml:space="preserve">Chair narrowly leads on both units sold and revenue, but the spread between the top product (15.47% share) and the bottom product, Phone (12.00% share), is only about 3.5 points. No single product dominates — the catalog is broad-based rather than hit-driven.</w:t>
      </w:r>
    </w:p>
    <w:p>
      <w:pPr>
        <w:pStyle w:val="Heading2"/>
        <w:spacing w:after="150" w:before="300"/>
      </w:pPr>
      <w:r>
        <w:t xml:space="preserve">3. Customer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</w:tcPr>
          <w:p>
            <w:pPr>
              <w:spacing w:after="150"/>
            </w:pPr>
            <w:r>
              <w:t xml:space="preserve">Unique Customers</w:t>
            </w:r>
          </w:p>
        </w:tc>
        <w:tc>
          <w:tcPr>
            <w:tcW w:type="dxa" w:w="4680"/>
          </w:tcPr>
          <w:p>
            <w:pPr>
              <w:spacing w:after="150"/>
            </w:pPr>
            <w:r>
              <w:t xml:space="preserve">1,189</w:t>
            </w:r>
          </w:p>
        </w:tc>
      </w:tr>
      <w:tr>
        <w:tc>
          <w:tcPr>
            <w:tcW w:type="dxa" w:w="4680"/>
          </w:tcPr>
          <w:p>
            <w:pPr>
              <w:spacing w:after="150"/>
            </w:pPr>
            <w:r>
              <w:t xml:space="preserve">Repeat Customers</w:t>
            </w:r>
          </w:p>
        </w:tc>
        <w:tc>
          <w:tcPr>
            <w:tcW w:type="dxa" w:w="4680"/>
          </w:tcPr>
          <w:p>
            <w:pPr>
              <w:spacing w:after="150"/>
            </w:pPr>
            <w:r>
              <w:t xml:space="preserve">11 (0.93% of customer base)</w:t>
            </w:r>
          </w:p>
        </w:tc>
      </w:tr>
      <w:tr>
        <w:tc>
          <w:tcPr>
            <w:tcW w:type="dxa" w:w="4680"/>
          </w:tcPr>
          <w:p>
            <w:pPr>
              <w:spacing w:after="150"/>
            </w:pPr>
            <w:r>
              <w:t xml:space="preserve">Average Spend per Customer</w:t>
            </w:r>
          </w:p>
        </w:tc>
        <w:tc>
          <w:tcPr>
            <w:tcW w:type="dxa" w:w="4680"/>
          </w:tcPr>
          <w:p>
            <w:pPr>
              <w:spacing w:after="150"/>
            </w:pPr>
            <w:r>
              <w:t xml:space="preserve">$1,063.72</w:t>
            </w:r>
          </w:p>
        </w:tc>
      </w:tr>
      <w:tr>
        <w:tc>
          <w:tcPr>
            <w:tcW w:type="dxa" w:w="4680"/>
          </w:tcPr>
          <w:p>
            <w:pPr>
              <w:spacing w:after="150"/>
            </w:pPr>
            <w:r>
              <w:t xml:space="preserve">Top Customer Spend</w:t>
            </w:r>
          </w:p>
        </w:tc>
        <w:tc>
          <w:tcPr>
            <w:tcW w:type="dxa" w:w="4680"/>
          </w:tcPr>
          <w:p>
            <w:pPr>
              <w:spacing w:after="150"/>
            </w:pPr>
            <w:r>
              <w:t xml:space="preserve">$5,723.23 (Customer C38840, 2 orders)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3. Top 15 customers by total spend</w:t>
      </w:r>
    </w:p>
    <w:p>
      <w:pPr>
        <w:spacing w:after="150"/>
      </w:pPr>
      <w:r>
        <w:t xml:space="preserve">With only 11 of 1,189 customers (0.93%) placing more than one order, the business is almost entirely dependent on first-time purchases. This is the single most important finding in the dataset: customer lifetime value is effectively capped at one transaction for over 99% of the customer base.</w:t>
      </w:r>
    </w:p>
    <w:p>
      <w:pPr>
        <w:pStyle w:val="Heading2"/>
        <w:spacing w:after="150" w:before="300"/>
      </w:pPr>
      <w:r>
        <w:t xml:space="preserve">4. Payment Method Trends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600"/>
        <w:gridCol w:w="2360"/>
      </w:tblGrid>
      <w:tr>
        <w:tc>
          <w:tcPr>
            <w:tcW w:type="dxa" w:w="260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Payment Method</w:t>
            </w:r>
          </w:p>
        </w:tc>
        <w:tc>
          <w:tcPr>
            <w:tcW w:type="dxa" w:w="180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Orders</w:t>
            </w:r>
          </w:p>
        </w:tc>
        <w:tc>
          <w:tcPr>
            <w:tcW w:type="dxa" w:w="260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Revenue</w:t>
            </w:r>
          </w:p>
        </w:tc>
        <w:tc>
          <w:tcPr>
            <w:tcW w:type="dxa" w:w="236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Revenue Share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t xml:space="preserve">Credit Card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234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t xml:space="preserve">$263,847.63</w:t>
            </w:r>
          </w:p>
        </w:tc>
        <w:tc>
          <w:tcPr>
            <w:tcW w:type="dxa" w:w="2360"/>
          </w:tcPr>
          <w:p>
            <w:pPr>
              <w:jc w:val="center"/>
            </w:pPr>
            <w:r>
              <w:t xml:space="preserve">20.86%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t xml:space="preserve">Online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258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t xml:space="preserve">$262,442.94</w:t>
            </w:r>
          </w:p>
        </w:tc>
        <w:tc>
          <w:tcPr>
            <w:tcW w:type="dxa" w:w="2360"/>
          </w:tcPr>
          <w:p>
            <w:pPr>
              <w:jc w:val="center"/>
            </w:pPr>
            <w:r>
              <w:t xml:space="preserve">20.75%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t xml:space="preserve">Cash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246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t xml:space="preserve">$259,786.29</w:t>
            </w:r>
          </w:p>
        </w:tc>
        <w:tc>
          <w:tcPr>
            <w:tcW w:type="dxa" w:w="2360"/>
          </w:tcPr>
          <w:p>
            <w:pPr>
              <w:jc w:val="center"/>
            </w:pPr>
            <w:r>
              <w:t xml:space="preserve">20.54%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t xml:space="preserve">Gift Card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230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t xml:space="preserve">$246,323.92</w:t>
            </w:r>
          </w:p>
        </w:tc>
        <w:tc>
          <w:tcPr>
            <w:tcW w:type="dxa" w:w="2360"/>
          </w:tcPr>
          <w:p>
            <w:pPr>
              <w:jc w:val="center"/>
            </w:pPr>
            <w:r>
              <w:t xml:space="preserve">19.48%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t xml:space="preserve">Debit Card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232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t xml:space="preserve">$232,361.18</w:t>
            </w:r>
          </w:p>
        </w:tc>
        <w:tc>
          <w:tcPr>
            <w:tcW w:type="dxa" w:w="2360"/>
          </w:tcPr>
          <w:p>
            <w:pPr>
              <w:jc w:val="center"/>
            </w:pPr>
            <w:r>
              <w:t xml:space="preserve">18.37%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4. Revenue share by payment method</w:t>
      </w:r>
    </w:p>
    <w:p>
      <w:pPr>
        <w:spacing w:after="150"/>
      </w:pPr>
      <w:r>
        <w:t xml:space="preserve">Payment method usage is almost perfectly even (18.4%-20.9% revenue share each), indicating no single channel is critical to the checkout flow and there is little risk concentration in any one payment provider.</w:t>
      </w:r>
    </w:p>
    <w:p>
      <w:pPr>
        <w:pStyle w:val="Heading2"/>
        <w:spacing w:after="150" w:before="300"/>
      </w:pPr>
      <w:r>
        <w:t xml:space="preserve">5. Order Status &amp; Fulfillment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600"/>
        <w:gridCol w:w="2360"/>
      </w:tblGrid>
      <w:tr>
        <w:tc>
          <w:tcPr>
            <w:tcW w:type="dxa" w:w="260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0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Orders</w:t>
            </w:r>
          </w:p>
        </w:tc>
        <w:tc>
          <w:tcPr>
            <w:tcW w:type="dxa" w:w="260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Revenue</w:t>
            </w:r>
          </w:p>
        </w:tc>
        <w:tc>
          <w:tcPr>
            <w:tcW w:type="dxa" w:w="236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Order Share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t xml:space="preserve">Cancelled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250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t xml:space="preserve">$276,396.21</w:t>
            </w:r>
          </w:p>
        </w:tc>
        <w:tc>
          <w:tcPr>
            <w:tcW w:type="dxa" w:w="2360"/>
          </w:tcPr>
          <w:p>
            <w:pPr>
              <w:jc w:val="center"/>
            </w:pPr>
            <w:r>
              <w:t xml:space="preserve">20.83%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t xml:space="preserve">Returned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247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t xml:space="preserve">$243,277.70</w:t>
            </w:r>
          </w:p>
        </w:tc>
        <w:tc>
          <w:tcPr>
            <w:tcW w:type="dxa" w:w="2360"/>
          </w:tcPr>
          <w:p>
            <w:pPr>
              <w:jc w:val="center"/>
            </w:pPr>
            <w:r>
              <w:t xml:space="preserve">20.58%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t xml:space="preserve">Pending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237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t xml:space="preserve">$256,328.15</w:t>
            </w:r>
          </w:p>
        </w:tc>
        <w:tc>
          <w:tcPr>
            <w:tcW w:type="dxa" w:w="2360"/>
          </w:tcPr>
          <w:p>
            <w:pPr>
              <w:jc w:val="center"/>
            </w:pPr>
            <w:r>
              <w:t xml:space="preserve">19.75%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t xml:space="preserve">Shipped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235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t xml:space="preserve">$246,159.58</w:t>
            </w:r>
          </w:p>
        </w:tc>
        <w:tc>
          <w:tcPr>
            <w:tcW w:type="dxa" w:w="2360"/>
          </w:tcPr>
          <w:p>
            <w:pPr>
              <w:jc w:val="center"/>
            </w:pPr>
            <w:r>
              <w:t xml:space="preserve">19.58%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t xml:space="preserve">Delivered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231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t xml:space="preserve">$242,600.32</w:t>
            </w:r>
          </w:p>
        </w:tc>
        <w:tc>
          <w:tcPr>
            <w:tcW w:type="dxa" w:w="2360"/>
          </w:tcPr>
          <w:p>
            <w:pPr>
              <w:jc w:val="center"/>
            </w:pPr>
            <w:r>
              <w:t xml:space="preserve">19.25%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5. Order count by fulfillment status</w:t>
      </w:r>
    </w:p>
    <w:p>
      <w:pPr>
        <w:spacing w:after="150"/>
      </w:pPr>
      <w:r>
        <w:t xml:space="preserve">Only 19.25% of orders reach a final "Delivered" state. Cancelled and Returned orders combined account for 41.09% of orders and $519,673.91 in revenue — 41.09% of total revenue is tied up in orders that did not result in a completed sale. This is the second major red flag in the dataset and warrants immediate operational attention.</w:t>
      </w:r>
    </w:p>
    <w:p>
      <w:pPr>
        <w:pStyle w:val="Heading2"/>
        <w:spacing w:after="150" w:before="300"/>
      </w:pPr>
      <w:r>
        <w:t xml:space="preserve">6. Coupon &amp; Promotion Effectiveness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560"/>
      </w:tblGrid>
      <w:tr>
        <w:tc>
          <w:tcPr>
            <w:tcW w:type="dxa" w:w="240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Coupon Code</w:t>
            </w:r>
          </w:p>
        </w:tc>
        <w:tc>
          <w:tcPr>
            <w:tcW w:type="dxa" w:w="180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Orders</w:t>
            </w:r>
          </w:p>
        </w:tc>
        <w:tc>
          <w:tcPr>
            <w:tcW w:type="dxa" w:w="260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Revenue</w:t>
            </w:r>
          </w:p>
        </w:tc>
        <w:tc>
          <w:tcPr>
            <w:tcW w:type="dxa" w:w="256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Avg Order Value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t xml:space="preserve">FREESHIP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313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t xml:space="preserve">$335,036.99</w:t>
            </w:r>
          </w:p>
        </w:tc>
        <w:tc>
          <w:tcPr>
            <w:tcW w:type="dxa" w:w="2560"/>
          </w:tcPr>
          <w:p>
            <w:pPr>
              <w:jc w:val="center"/>
            </w:pPr>
            <w:r>
              <w:t xml:space="preserve">$1,070.41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t xml:space="preserve">No Coupon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309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t xml:space="preserve">$322,401.41</w:t>
            </w:r>
          </w:p>
        </w:tc>
        <w:tc>
          <w:tcPr>
            <w:tcW w:type="dxa" w:w="2560"/>
          </w:tcPr>
          <w:p>
            <w:pPr>
              <w:jc w:val="center"/>
            </w:pPr>
            <w:r>
              <w:t xml:space="preserve">$1,043.37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t xml:space="preserve">WINTER15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292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t xml:space="preserve">$302,483.54</w:t>
            </w:r>
          </w:p>
        </w:tc>
        <w:tc>
          <w:tcPr>
            <w:tcW w:type="dxa" w:w="2560"/>
          </w:tcPr>
          <w:p>
            <w:pPr>
              <w:jc w:val="center"/>
            </w:pPr>
            <w:r>
              <w:t xml:space="preserve">$1,035.90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t xml:space="preserve">SAVE10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286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t xml:space="preserve">$304,840.02</w:t>
            </w:r>
          </w:p>
        </w:tc>
        <w:tc>
          <w:tcPr>
            <w:tcW w:type="dxa" w:w="2560"/>
          </w:tcPr>
          <w:p>
            <w:pPr>
              <w:jc w:val="center"/>
            </w:pPr>
            <w:r>
              <w:t xml:space="preserve">$1,065.87</w:t>
            </w:r>
          </w:p>
        </w:tc>
      </w:tr>
    </w:tbl>
    <w:p>
      <w:pPr>
        <w:spacing w:after="150"/>
      </w:pPr>
      <w:r>
        <w:t xml:space="preserve">74.25% of orders (891 of 1,200) used a coupon of some kind. Orders with a coupon carried a slightly higher average order value ($1,057.64) than orders without one ($1,043.37) — a difference of only about 1.4%, suggesting current coupons are not meaningfully driving larger baskets and may simply be discounting purchases customers would have made anyway.</w:t>
      </w:r>
    </w:p>
    <w:p>
      <w:pPr>
        <w:pStyle w:val="Heading2"/>
        <w:spacing w:after="150" w:before="300"/>
      </w:pPr>
      <w:r>
        <w:t xml:space="preserve">7. Referral Source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560"/>
      </w:tblGrid>
      <w:tr>
        <w:tc>
          <w:tcPr>
            <w:tcW w:type="dxa" w:w="240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Referral Source</w:t>
            </w:r>
          </w:p>
        </w:tc>
        <w:tc>
          <w:tcPr>
            <w:tcW w:type="dxa" w:w="180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Orders</w:t>
            </w:r>
          </w:p>
        </w:tc>
        <w:tc>
          <w:tcPr>
            <w:tcW w:type="dxa" w:w="260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Revenue</w:t>
            </w:r>
          </w:p>
        </w:tc>
        <w:tc>
          <w:tcPr>
            <w:tcW w:type="dxa" w:w="2560"/>
            <w:shd w:fill="2E5E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Revenue Share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t xml:space="preserve">Instagram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259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t xml:space="preserve">$275,285.45</w:t>
            </w:r>
          </w:p>
        </w:tc>
        <w:tc>
          <w:tcPr>
            <w:tcW w:type="dxa" w:w="2560"/>
          </w:tcPr>
          <w:p>
            <w:pPr>
              <w:jc w:val="center"/>
            </w:pPr>
            <w:r>
              <w:t xml:space="preserve">21.77%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t xml:space="preserve">Email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250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t xml:space="preserve">$261,808.55</w:t>
            </w:r>
          </w:p>
        </w:tc>
        <w:tc>
          <w:tcPr>
            <w:tcW w:type="dxa" w:w="2560"/>
          </w:tcPr>
          <w:p>
            <w:pPr>
              <w:jc w:val="center"/>
            </w:pPr>
            <w:r>
              <w:t xml:space="preserve">20.70%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t xml:space="preserve">Google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241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t xml:space="preserve">$250,441.48</w:t>
            </w:r>
          </w:p>
        </w:tc>
        <w:tc>
          <w:tcPr>
            <w:tcW w:type="dxa" w:w="2560"/>
          </w:tcPr>
          <w:p>
            <w:pPr>
              <w:jc w:val="center"/>
            </w:pPr>
            <w:r>
              <w:t xml:space="preserve">19.80%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t xml:space="preserve">Facebook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228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t xml:space="preserve">$250,410.90</w:t>
            </w:r>
          </w:p>
        </w:tc>
        <w:tc>
          <w:tcPr>
            <w:tcW w:type="dxa" w:w="2560"/>
          </w:tcPr>
          <w:p>
            <w:pPr>
              <w:jc w:val="center"/>
            </w:pPr>
            <w:r>
              <w:t xml:space="preserve">19.80%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t xml:space="preserve">Referral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222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t xml:space="preserve">$226,815.58</w:t>
            </w:r>
          </w:p>
        </w:tc>
        <w:tc>
          <w:tcPr>
            <w:tcW w:type="dxa" w:w="2560"/>
          </w:tcPr>
          <w:p>
            <w:pPr>
              <w:jc w:val="center"/>
            </w:pPr>
            <w:r>
              <w:t xml:space="preserve">17.93%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6. Revenue by referral source</w:t>
      </w:r>
    </w:p>
    <w:p>
      <w:pPr>
        <w:spacing w:after="150"/>
      </w:pPr>
      <w:r>
        <w:t xml:space="preserve">Instagram is the top revenue-generating channel at 21.77% share, narrowly ahead of Email (20.70%). Word-of-mouth "Referral" traffic trails all paid/owned channels at 17.93%, the lowest of the five sources tracked.</w:t>
      </w:r>
    </w:p>
    <w:p>
      <w:pPr>
        <w:pStyle w:val="Heading2"/>
        <w:spacing w:after="150" w:before="300"/>
      </w:pPr>
      <w:r>
        <w:t xml:space="preserve">8. Time Trends</w:t>
      </w:r>
    </w:p>
    <w:p>
      <w:pPr>
        <w:spacing w:after="150"/>
      </w:pPr>
      <w:r>
        <w:t xml:space="preserve">Revenue by month ranges from a low of $27,751.71 (April 2023) to a high of $68,068.54 (June 2024), with no consistent seasonal pattern across the three years of data. Sunday is the strongest day of the week by revenue ($199,194.84 across the period), while Wednesday is the weakest ($160,519.31).</w:t>
      </w:r>
    </w:p>
    <w:p>
      <w:pPr>
        <w:pStyle w:val="Heading2"/>
        <w:spacing w:after="150" w:before="300"/>
      </w:pPr>
      <w:r>
        <w:t xml:space="preserve">9. Outlier Detection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7. Order value distribution (boxplot)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8. Order value distribution (histogram)</w:t>
      </w:r>
    </w:p>
    <w:p>
      <w:pPr>
        <w:spacing w:after="150"/>
      </w:pPr>
      <w:r>
        <w:t xml:space="preserve">Using the IQR method, 8 orders (0.67%) fall outside the normal order-value range of roughly $0-$3,330 (the calculated lower bound was negative and was floored at $0), all of them unusually high-value orders rather than low ones. No outliers were detected in order quantity — every order fell within the normal 0-7 unit range. These high-value orders (e.g., a $3,456.40 Tablet order and a $3,390.95 Monitor order) are legitimate large purchases worth flagging for account management or fraud review, not data errors.</w:t>
      </w:r>
    </w:p>
    <w:p>
      <w:pPr>
        <w:pStyle w:val="Heading1"/>
        <w:spacing w:after="200" w:before="400"/>
      </w:pPr>
      <w:r>
        <w:t xml:space="preserve">Business Insights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Retention, not acquisition, is the core growth constraint. A 0.93% repeat-purchase rate is far below typical e-commerce benchmarks (often 20-30%+), meaning nearly every dollar of the $1.26M in revenue came from a one-time buyer.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Order failure is eroding gross revenue at scale. With 41.09% of orders ending in Cancelled or Returned status, over $519K in booked revenue never converts to realized revenue — a rate high enough to suggest a systemic issue (checkout, fulfillment, or product-fit) rather than random attrition.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The business is broad-based, not hit-driven. Products, payment methods, and referral sources are all clustered tightly around an even split, meaning there is no single point of failure — but also no clear "star" to double down 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Coupons are not clearly earning their discount. The AOV lift from coupon use (+1.4%) is marginal relative to the cost of the discount itself, raising the question of whether current promotions are profitable.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Instagram and Email are the strongest acquisition channels, while direct word-of-mouth referral is comparatively underdeveloped despite being typically the highest-intent, lowest-cost channel available.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A small number of high-value transactions (8 orders, largest $3,456.40) sit well above the norm and represent an under-leveraged VIP or B2B customer segment.</w:t>
      </w:r>
    </w:p>
    <w:p>
      <w:pPr>
        <w:pStyle w:val="Heading1"/>
        <w:spacing w:after="200" w:before="400"/>
      </w:pPr>
      <w:r>
        <w:t xml:space="preserve">Recommendations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Launch a retention program immediately: post-purchase email/SMS sequences, a loyalty or repeat-purchase discount, and win-back campaigns targeted at the 99%+ of customers who have only ordered once.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Investigate the root cause of the 41% Cancelled/Returned rate as a top priority — audit checkout flow, payment failures, shipping delays, and return reasons to identify whether this is a single fixable bottleneck.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Re-evaluate coupon strategy: A/B test removing or restructuring FREESHIP and WINTER15 against a control group to confirm they generate incremental revenue rather than subsidizing existing demand.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Double down on Instagram and Email, the two top-performing referral channels, while testing structured referral/word-of-mouth incentives to lift the lagging "Referral" channel.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Build a lightweight VIP tier for the handful of customers placing high-value orders (&gt;$3,300), since they show clear willingness to spend well above the $1,053.97 average order value.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Instrument monthly tracking of the repeat-purchase rate and the Cancelled/Returned rate as the two headline KPIs for the next reporting cycle, since both currently sit at levels that materially cap revenue growth.</w:t>
      </w:r>
    </w:p>
    <w:p>
      <w:pPr>
        <w:pStyle w:val="Heading1"/>
        <w:spacing w:after="200" w:before="400"/>
      </w:pPr>
      <w:r>
        <w:t xml:space="preserve">Conclusion</w:t>
      </w:r>
    </w:p>
    <w:p>
      <w:pPr>
        <w:spacing w:after="150"/>
      </w:pPr>
      <w:r>
        <w:t xml:space="preserve">The dataset points to a business that is acquiring customers steadily but not retaining them, and one that is losing a striking share of booked revenue to cancellations and returns. Product mix, payment methods, and marketing channels are all healthy and diversified, which is a strong foundation to build on. The clearest path to revenue growth is not more top-of-funnel acquisition, but fixing the two leaks identified in this analysis: near-zero repeat purchasing and a 41% order failure rate. Addressing either one would meaningfully improve realized revenue without requiring any change to the product catalog or pricing.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99999"/>
        <w:sz w:val="16"/>
        <w:szCs w:val="16"/>
      </w:rPr>
      <w:t xml:space="preserve">Sales &amp; Customer Analytics — Executive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c539a0d43d4622726cb0e0a06bf6a052ec381f3.png"/><Relationship Id="rId10" Type="http://schemas.openxmlformats.org/officeDocument/2006/relationships/image" Target="media/65cf8c582a82c2a1dd0ce2d670fc5af8dc6d1372.png"/><Relationship Id="rId11" Type="http://schemas.openxmlformats.org/officeDocument/2006/relationships/image" Target="media/8ac9400ab52ba2f6b111cb82c83adad5dca50a2b.png"/><Relationship Id="rId12" Type="http://schemas.openxmlformats.org/officeDocument/2006/relationships/image" Target="media/84bc6182ece1b1032b04dd677fe721b1fed436bb.png"/><Relationship Id="rId13" Type="http://schemas.openxmlformats.org/officeDocument/2006/relationships/image" Target="media/a9f66701dc1d9a4cedab3dbe1070fb7b02180bfd.png"/><Relationship Id="rId14" Type="http://schemas.openxmlformats.org/officeDocument/2006/relationships/image" Target="media/383fd0ff48d6528089ca28493d6d4835690c70e1.png"/><Relationship Id="rId15" Type="http://schemas.openxmlformats.org/officeDocument/2006/relationships/image" Target="media/4d66212dc22c9804e759a5d34224573a08288ff5.png"/><Relationship Id="rId16" Type="http://schemas.openxmlformats.org/officeDocument/2006/relationships/image" Target="media/b011b9e59c2a6341eab5aa601902d948bd6f8a7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2026-07-27T14:51:29.357Z</dcterms:created>
  <dcterms:modified xsi:type="dcterms:W3CDTF">2026-07-27T14:51:29.371Z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