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README_商品交易文件系統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目的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提供一次完整化的可下載文件包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後續策略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日後逐檔強化內容，不破壞整體編碼與資料結構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狀態欄位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每份文件已內嵌狀態說明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版本欄位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建議以 v1.0 起始，重要變更遞增</w:t>
            </w:r>
          </w:p>
        </w:tc>
      </w:tr>
    </w:tbl>
    <w:p/>
    <w:p>
      <w:pPr>
        <w:pStyle w:val="Heading1"/>
      </w:pPr>
      <w:r>
        <w:t>一、收容規則</w:t>
      </w:r>
    </w:p>
    <w:p>
      <w:r>
        <w:t>每一份文件以單一 DOCX 儲存，檔名即文件名稱。</w:t>
      </w:r>
    </w:p>
    <w:p>
      <w:r>
        <w:t>附件不直接嵌入模板正文，改以 attachment_ref 對應，避免版本衝突。</w:t>
      </w:r>
    </w:p>
    <w:p>
      <w:r>
        <w:t>跨市場共用欄位不得任意改名，避免後續資料庫整合失敗。</w:t>
      </w:r>
    </w:p>
    <w:p>
      <w:r>
        <w:t>進階文件雖標示欄位待完整，但本版已儘量完成常用欄位。</w:t>
      </w:r>
    </w:p>
    <w:p>
      <w:pPr>
        <w:pStyle w:val="Heading1"/>
      </w:pPr>
      <w:r>
        <w:t>二、建議共用主檔</w:t>
      </w:r>
    </w:p>
    <w:p>
      <w:r>
        <w:t>供應商主檔</w:t>
      </w:r>
    </w:p>
    <w:p>
      <w:r>
        <w:t>商品規格主檔</w:t>
      </w:r>
    </w:p>
    <w:p>
      <w:r>
        <w:t>批次編碼規則</w:t>
      </w:r>
    </w:p>
    <w:p>
      <w:r>
        <w:t>原因碼字典</w:t>
      </w:r>
    </w:p>
    <w:p>
      <w:r>
        <w:t>狀態流轉規則</w:t>
      </w:r>
    </w:p>
    <w:p>
      <w:r>
        <w:t>附件命名規則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