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出貨通知單</w:t>
      </w:r>
    </w:p>
    <w:p>
      <w:pPr>
        <w:jc w:val="center"/>
      </w:pPr>
      <w:r>
        <w:rPr>
          <w:i/>
        </w:rPr>
        <w:t>原油市場 - Shipment Notice</w:t>
      </w:r>
    </w:p>
    <w:p>
      <w:pPr>
        <w:jc w:val="center"/>
      </w:pPr>
      <w:r>
        <w:rPr>
          <w:b/>
          <w:color w:val="1F4E79"/>
        </w:rPr>
        <w:t>擴充性：欄位完整化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文件狀態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擴充性：欄位完整化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市場別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原油市場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資料結構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主檔 + 表單 + 附件 + 版本 + 狀態流轉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主用途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建立可下載、可後續逐檔強化之標準文件模板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附件建議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化驗報告；檢尺報告；船務文件；保險文件；提單/港口文件</w:t>
            </w:r>
          </w:p>
        </w:tc>
      </w:tr>
    </w:tbl>
    <w:p/>
    <w:p>
      <w:pPr>
        <w:pStyle w:val="Heading1"/>
      </w:pPr>
      <w:r>
        <w:t>一、使用說明</w:t>
      </w:r>
    </w:p>
    <w:p>
      <w:r>
        <w:t>本文件屬於「原油市場」文件庫之一部分。此版本先完成整體模板化與主要欄位配置，供交易、品管、驗收、稽核與爭議處理使用。日後可在保留 document_id、batch_id、status、version_no 等關聯鍵之下，逐欄位擴充。</w:t>
      </w:r>
    </w:p>
    <w:p>
      <w:pPr>
        <w:pStyle w:val="Heading1"/>
      </w:pPr>
      <w:r>
        <w:t>二、建議欄位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型別/格式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必填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備註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文件唯一識別碼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例：CRU-DOC-YYYY-NNN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document_type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文件類型代碼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與檔名及流程綁定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market_category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市場類別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咖啡豆 / 原油 / 金屬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batch_id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批次或交易批號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跨文件關聯鍵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counterparty_id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供應商/客戶/對手方代碼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引用主檔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trade_date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交易或填表日期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YYYY-MM-DD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currency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幣別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USD / EUR / TWD 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文件目前狀態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DRAFT~CLOSED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version_no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版本編號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如 v1.0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attachment_ref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附件識別或清單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多筆以分號分隔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summary_note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摘要說明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依文件用途填寫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owner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責任人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部門或窗口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reason_code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異常/決策原因碼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可後續細化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effective_from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生效日期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適用於制度文件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effective_to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失效日期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適用於制度文件</w:t>
            </w:r>
          </w:p>
        </w:tc>
      </w:tr>
    </w:tbl>
    <w:p/>
    <w:p>
      <w:pPr>
        <w:pStyle w:val="Heading1"/>
      </w:pPr>
      <w:r>
        <w:t>三、狀態流轉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定義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常見前一狀態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常見原因碼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草稿，尚未提交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INIT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已提交待審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SUBMIT_OK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審查/議價/檢驗中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PENDING_REVIEW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核准或成交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APPROVED_OK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駁回/不接受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SPEC_FAIL / PRICE_FAIL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CLOSED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結案，已完成或終止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 / 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CLOSED_OK</w:t>
            </w:r>
          </w:p>
        </w:tc>
      </w:tr>
    </w:tbl>
    <w:p/>
    <w:p>
      <w:pPr>
        <w:pStyle w:val="Heading1"/>
      </w:pPr>
      <w:r>
        <w:t>四、附件與版本管理</w:t>
      </w:r>
    </w:p>
    <w:p>
      <w:r>
        <w:t>建議本文件與附件採同批次收容，例如：檢驗報告、照片、提單、合約摘要、化驗報告、成分分析報告等，並以 version_no 控制修訂。若修訂影響商務條件或驗收結論，應同步記錄 change_log 與 approved_by。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444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