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分級判定單</w:t>
      </w:r>
    </w:p>
    <w:p>
      <w:pPr>
        <w:jc w:val="center"/>
      </w:pPr>
      <w:r>
        <w:rPr>
          <w:i/>
        </w:rPr>
        <w:t>金屬市場 - Grading Determination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檢驗項目：純度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檢驗項目：成分分析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檢驗項目：重量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分級依據：牌號/規格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分級依據：純度級別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