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議價紀錄單</w:t>
      </w:r>
    </w:p>
    <w:p>
      <w:pPr>
        <w:jc w:val="center"/>
      </w:pPr>
      <w:r>
        <w:rPr>
          <w:i/>
        </w:rPr>
        <w:t>金屬市場 - Negotiation Record</w:t>
      </w:r>
    </w:p>
    <w:p>
      <w:pPr>
        <w:jc w:val="center"/>
      </w:pPr>
      <w:r>
        <w:rPr>
          <w:b/>
          <w:color w:val="1F4E79"/>
        </w:rPr>
        <w:t>核心：欄位完整化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核心：欄位完整化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金屬市場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成分分析報告；倉單；照片；出廠證明；運輸文件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本文件屬於「金屬市場」文件庫之一部分。此版本先完成整體模板化與主要欄位配置，供交易、品管、驗收、稽核與爭議處理使用。日後可在保留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例：MET-DOC-YYYY-NNN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product_spec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商品規格摘要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主交易標的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pricing_basis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計價基準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差價、期貨月、固定價等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quantity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Number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交易數量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單位依市場而定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delivery_term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交貨條件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FOB/CIF/Ex-warehouse等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decision_reason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核准/拒絕/讓步理由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歸因必填來源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