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批次主檔卡</w:t>
      </w:r>
    </w:p>
    <w:p>
      <w:pPr>
        <w:jc w:val="center"/>
      </w:pPr>
      <w:r>
        <w:rPr>
          <w:i/>
        </w:rPr>
        <w:t>金屬市場 - Batch Master Card</w:t>
      </w:r>
    </w:p>
    <w:p>
      <w:pPr>
        <w:jc w:val="center"/>
      </w:pPr>
      <w:r>
        <w:rPr>
          <w:b/>
          <w:color w:val="1F4E79"/>
        </w:rPr>
        <w:t>擴充性：欄位完整化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擴充性：欄位完整化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