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rPr>
        <w:t xml:space="preserve">Analyst Report</w:t>
      </w:r>
    </w:p>
    <w:p>
      <w:r>
        <w:t xml:space="preserve">Property Address: 3766 Peachtree Crest Dr, Duluth, GA</w:t>
      </w:r>
    </w:p>
    <w:p>
      <w:r>
        <w:t xml:space="preserve">Tenant / Business: Steven Meng</w:t>
      </w:r>
    </w:p>
    <w:p>
      <w:r>
        <w:t xml:space="preserve">Generated: 2026-03-19 18:37:40</w:t>
      </w:r>
    </w:p>
    <w:p>
      <w:r>
        <w:t/>
      </w:r>
    </w:p>
    <w:p>
      <w:r>
        <w:t xml:space="preserve"># CREDIT INTELLIGENCE MEMO</w:t>
      </w:r>
    </w:p>
    <w:p>
      <w:r>
        <w:t xml:space="preserve">**Subject Property:** 3766 Peachtree Crest Dr, Duluth, GA</w:t>
      </w:r>
    </w:p>
    <w:p>
      <w:r>
        <w:t xml:space="preserve">**Tenant:** Steven Meng</w:t>
      </w:r>
    </w:p>
    <w:p>
      <w:r>
        <w:t xml:space="preserve">**Date:** [Current Date]</w:t>
      </w:r>
    </w:p>
    <w:p>
      <w:r>
        <w:t/>
      </w:r>
    </w:p>
    <w:p>
      <w:r>
        <w:t xml:space="preserve">---</w:t>
      </w:r>
    </w:p>
    <w:p>
      <w:r>
        <w:t/>
      </w:r>
    </w:p>
    <w:p>
      <w:r>
        <w:t xml:space="preserve">## **Property Overview**</w:t>
      </w:r>
    </w:p>
    <w:p>
      <w:r>
        <w:t/>
      </w:r>
    </w:p>
    <w:p>
      <w:r>
        <w:t xml:space="preserve">3766 Peachtree Crest Dr is a **10,500 SF industrial warehouse** located in Duluth, Georgia (Gwinnett County), zoned M-1 for manufacturing/light industrial use. Built in 2007, the asset features 20–24 ft ceiling heights, 6 loading docks, 2 drive-in bays, and 20 parking spaces, indicating multi-tenant capability with modular unit configuration. The property was actively marketed for lease as recently as 2018–2019, with documented available space of 4,728 SF. This is a mature, secondary-market industrial asset in an established business park corridor.</w:t>
      </w:r>
    </w:p>
    <w:p>
      <w:r>
        <w:t/>
      </w:r>
    </w:p>
    <w:p>
      <w:r>
        <w:t xml:space="preserve">---</w:t>
      </w:r>
    </w:p>
    <w:p>
      <w:r>
        <w:t/>
      </w:r>
    </w:p>
    <w:p>
      <w:r>
        <w:t xml:space="preserve">## **Tenant Health**</w:t>
      </w:r>
    </w:p>
    <w:p>
      <w:r>
        <w:t/>
      </w:r>
    </w:p>
    <w:p>
      <w:r>
        <w:t xml:space="preserve">**Assessment: Insufficient Data.** No public financial information, news, operational updates, or lease documentation regarding Steven Meng was recovered. The research identified no recent lease announcements, renewals, business announcements, closures, or market activity associated with this tenant. Without access to lease terms, payment history, credit reports, or business financials, **we cannot assess tenant creditworthiness or operational stability.** This is a critical gap that must be closed through direct underwriting.</w:t>
      </w:r>
    </w:p>
    <w:p>
      <w:r>
        <w:t/>
      </w:r>
    </w:p>
    <w:p>
      <w:r>
        <w:t xml:space="preserve">---</w:t>
      </w:r>
    </w:p>
    <w:p>
      <w:r>
        <w:t/>
      </w:r>
    </w:p>
    <w:p>
      <w:r>
        <w:t xml:space="preserve">## **Red Flags**</w:t>
      </w:r>
    </w:p>
    <w:p>
      <w:r>
        <w:t/>
      </w:r>
    </w:p>
    <w:p>
      <w:r>
        <w:t xml:space="preserve">1. **Lack of Tenant Visibility:** Steven Meng generates no public business footprint, news, or verifiable commercial presence in available databases. This may indicate a small operator, sole proprietor, or shell entity—all of which carry elevated credit risk in the absence of financial documentation.</w:t>
      </w:r>
    </w:p>
    <w:p>
      <w:r>
        <w:t/>
      </w:r>
    </w:p>
    <w:p>
      <w:r>
        <w:t xml:space="preserve">2. **No Recent Permit or NOC Activity:** Absence of building permits or Notices of Commencement suggests either (a) no recent capital investment or tenant improvement activity, or (b) incomplete public record capture. If the space requires buildout or modifications, lack of permitted work could indicate compliance risk.</w:t>
      </w:r>
    </w:p>
    <w:p>
      <w:r>
        <w:t/>
      </w:r>
    </w:p>
    <w:p>
      <w:r>
        <w:t xml:space="preserve">3. **Historical Listing Status:** The property was marketed for lease in 2018–2019 with available space, yet current occupancy status and lease execution timeline are unclear. Prolonged vacancy or high turnover would suggest market weakness or asset quality issues.</w:t>
      </w:r>
    </w:p>
    <w:p>
      <w:r>
        <w:t/>
      </w:r>
    </w:p>
    <w:p>
      <w:r>
        <w:t xml:space="preserve">4. **No Tax, Lien, or Litigation Records Located:** While the absence of visible liens is positive, the lack of any public record trail on the property (sales history, ownership transfers, tax assessments) is atypical and limits independent verification of asset encumbrances or title status.</w:t>
      </w:r>
    </w:p>
    <w:p>
      <w:r>
        <w:t/>
      </w:r>
    </w:p>
    <w:p>
      <w:r>
        <w:t xml:space="preserve">5. **Unverified Tenant Assignment:** The data source identifies Steven Meng as "the reported tenant," but no lease document, occupancy permit, or business registration was independently confirmed. Tenant identification itself requires validation.</w:t>
      </w:r>
    </w:p>
    <w:p>
      <w:r>
        <w:t/>
      </w:r>
    </w:p>
    <w:p>
      <w:r>
        <w:t xml:space="preserve">---</w:t>
      </w:r>
    </w:p>
    <w:p>
      <w:r>
        <w:t/>
      </w:r>
    </w:p>
    <w:p>
      <w:r>
        <w:t xml:space="preserve">## **Positive Signals**</w:t>
      </w:r>
    </w:p>
    <w:p>
      <w:r>
        <w:t/>
      </w:r>
    </w:p>
    <w:p>
      <w:r>
        <w:t xml:space="preserve">1. **Stabilized Asset Class:** Industrial warehousing in the Atlanta metro area (particularly Gwinnett County) remains a fundamentally sound asset class with consistent demand for logistics and light manufacturing.</w:t>
      </w:r>
    </w:p>
    <w:p>
      <w:r>
        <w:t/>
      </w:r>
    </w:p>
    <w:p>
      <w:r>
        <w:t xml:space="preserve">2. **Modern Vintage &amp; Functionality:** Built in 2007 with practical specifications (multiple docks, drive-ins, flexible ceiling heights) suggests the property meets contemporary industrial space requirements without immediate capital needs.</w:t>
      </w:r>
    </w:p>
    <w:p>
      <w:r>
        <w:t/>
      </w:r>
    </w:p>
    <w:p>
      <w:r>
        <w:t xml:space="preserve">3. **No Visible Encumbrances:** No tax liens, code violations, litigation, or zoning issues were identified in public records, indicating a clean title position and compliant operating status (to the extent verifiable).</w:t>
      </w:r>
    </w:p>
    <w:p>
      <w:r>
        <w:t/>
      </w:r>
    </w:p>
    <w:p>
      <w:r>
        <w:t xml:space="preserve">4. **Multi-Tenant Capability:** The property's modular design (documented 4,728 SF units available) supports revenue diversification and tenant mix flexibility, reducing single-tenant concentration risk if Steven Meng represents only one occupant.</w:t>
      </w:r>
    </w:p>
    <w:p>
      <w:r>
        <w:t/>
      </w:r>
    </w:p>
    <w:p>
      <w:r>
        <w:t xml:space="preserve">---</w:t>
      </w:r>
    </w:p>
    <w:p>
      <w:r>
        <w:t/>
      </w:r>
    </w:p>
    <w:p>
      <w:r>
        <w:t xml:space="preserve">## **Analyst Summary**</w:t>
      </w:r>
    </w:p>
    <w:p>
      <w:r>
        <w:t/>
      </w:r>
    </w:p>
    <w:p>
      <w:r>
        <w:t xml:space="preserve">**Overall Risk Assessment: MODERATE-TO-HIGH due to insufficient tenant underwriting data.** While the property itself is a sound secondary-market industrial asset with no visible public record issues, the tenant (Steven Meng) lacks any verifiable business footprint, financial documentation, or lease confirmation. Before proceeding with a credit facility, **the underwriting team must immediately obtain and verify (1) executed lease agreement(s) with Steven Meng, including rental rates, term, and renewal options; (2) personal/business credit reports and 2–3 years of business tax returns or financial statements; (3) independent confirmation of occupancy and payment history; and (4) clarification of multi-tenant structure and other occupant creditworthiness.** Without these core documents, this transaction carries unacceptable credit opacity.</w:t>
      </w:r>
    </w:p>
    <w:sectPr>
      <w:pgSz w:w="12240" w:h="15840"/>
      <w:pgMar w:top="1440" w:right="1440" w:bottom="1440" w:left="1440" w:header="708" w:footer="708" w:gutter="0"/>
    </w:sectPr>
  </w:body>
</w:document>
</file>