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6508C">
      <w:pPr>
        <w:pStyle w:val="8"/>
        <w:spacing w:line="360" w:lineRule="auto"/>
        <w:rPr>
          <w:rFonts w:ascii="仿宋" w:hAnsi="仿宋" w:eastAsia="仿宋" w:cs="仿宋"/>
          <w:b w:val="0"/>
          <w:bCs w:val="0"/>
          <w:sz w:val="48"/>
          <w:szCs w:val="48"/>
        </w:rPr>
      </w:pPr>
      <w:r>
        <w:rPr>
          <w:rFonts w:hint="eastAsia" w:ascii="仿宋" w:hAnsi="仿宋" w:eastAsia="仿宋" w:cs="仿宋"/>
          <w:b w:val="0"/>
          <w:bCs w:val="0"/>
          <w:sz w:val="48"/>
          <w:szCs w:val="48"/>
        </w:rPr>
        <w:t>补充协议</w:t>
      </w:r>
      <w:bookmarkStart w:name="anc-c1-078331da" w:id="840315"/>
      <w:bookmarkEnd w:id="840315"/>
      <w:bookmarkStart w:name="anc-c1-p1-c0e16f81" w:id="840327"/>
      <w:bookmarkEnd w:id="840327"/>
    </w:p>
    <w:p w14:paraId="05DCDAA9">
      <w:pPr>
        <w:rPr>
          <w:rFonts w:ascii="仿宋" w:hAnsi="仿宋" w:eastAsia="仿宋" w:cs="仿宋"/>
          <w:sz w:val="28"/>
          <w:szCs w:val="28"/>
        </w:rPr>
      </w:pPr>
    </w:p>
    <w:p w14:paraId="04BD4A08">
      <w:pPr>
        <w:pStyle w:val="3"/>
        <w:shd w:val="clear" w:color="auto" w:fill="FFFFFF"/>
        <w:spacing w:before="0" w:beforeAutospacing="0" w:after="48" w:afterAutospacing="0" w:line="264" w:lineRule="atLeast"/>
        <w:ind w:right="-630" w:rightChars="-300"/>
        <w:rPr>
          <w:rFonts w:ascii="仿宋" w:hAnsi="仿宋" w:eastAsia="仿宋" w:cs="仿宋"/>
          <w:b w:val="0"/>
          <w:bCs w:val="0"/>
          <w:kern w:val="2"/>
          <w:sz w:val="28"/>
          <w:szCs w:val="28"/>
        </w:rPr>
      </w:pPr>
      <w:r>
        <w:rPr>
          <w:rFonts w:hint="eastAsia" w:ascii="仿宋" w:hAnsi="仿宋" w:eastAsia="仿宋" w:cs="仿宋"/>
          <w:b w:val="0"/>
          <w:bCs w:val="0"/>
          <w:kern w:val="2"/>
          <w:sz w:val="28"/>
          <w:szCs w:val="28"/>
        </w:rPr>
        <w:t>甲方：</w:t>
      </w:r>
      <w:bookmarkStart w:id="0" w:name="OLE_LINK1"/>
      <w:r>
        <w:rPr>
          <w:rFonts w:hint="eastAsia" w:ascii="仿宋" w:hAnsi="仿宋" w:eastAsia="仿宋" w:cs="仿宋"/>
          <w:b w:val="0"/>
          <w:bCs w:val="0"/>
          <w:kern w:val="2"/>
          <w:sz w:val="28"/>
          <w:szCs w:val="28"/>
        </w:rPr>
        <w:t>佛山市创意新材料科技有限公司</w:t>
      </w:r>
      <w:bookmarkEnd w:id="0"/>
      <w:r>
        <w:rPr>
          <w:rFonts w:hint="eastAsia" w:ascii="仿宋" w:hAnsi="仿宋" w:eastAsia="仿宋" w:cs="仿宋"/>
          <w:b w:val="0"/>
          <w:bCs w:val="0"/>
          <w:kern w:val="2"/>
          <w:sz w:val="28"/>
          <w:szCs w:val="28"/>
        </w:rPr>
        <w:t>（以下简称“创意新材料”）</w:t>
      </w:r>
      <w:bookmarkStart w:name="anc-c1-p2-172b3da3" w:id="840329"/>
      <w:bookmarkEnd w:id="840329"/>
    </w:p>
    <w:p w14:paraId="6CCDD711">
      <w:pPr>
        <w:rPr>
          <w:rFonts w:ascii="仿宋" w:hAnsi="仿宋" w:eastAsia="仿宋" w:cs="仿宋"/>
          <w:sz w:val="28"/>
          <w:szCs w:val="28"/>
        </w:rPr>
      </w:pPr>
      <w:r>
        <w:rPr>
          <w:rFonts w:hint="eastAsia" w:ascii="仿宋" w:hAnsi="仿宋" w:eastAsia="仿宋" w:cs="仿宋"/>
          <w:sz w:val="28"/>
          <w:szCs w:val="28"/>
        </w:rPr>
        <w:t>地址：广东省佛山市南海区狮山镇官窑官和公路工业开发区</w:t>
      </w:r>
      <w:bookmarkStart w:name="anc-c1-p3-fee7a87f" w:id="840331"/>
      <w:bookmarkEnd w:id="840331"/>
    </w:p>
    <w:p w14:paraId="2FC08FED">
      <w:pPr>
        <w:rPr>
          <w:rFonts w:ascii="仿宋" w:hAnsi="仿宋" w:eastAsia="仿宋" w:cs="仿宋"/>
          <w:sz w:val="28"/>
          <w:szCs w:val="28"/>
        </w:rPr>
      </w:pPr>
      <w:r>
        <w:rPr>
          <w:rFonts w:hint="eastAsia" w:ascii="仿宋" w:hAnsi="仿宋" w:eastAsia="仿宋" w:cs="仿宋"/>
          <w:sz w:val="28"/>
          <w:szCs w:val="28"/>
        </w:rPr>
        <w:t>合作对接人：戚禹文</w:t>
      </w:r>
      <w:bookmarkStart w:name="anc-c1-p4-e8e0bb9d" w:id="840331"/>
      <w:bookmarkEnd w:id="840331"/>
    </w:p>
    <w:p w14:paraId="095E4E8B">
      <w:pPr>
        <w:rPr>
          <w:rFonts w:ascii="仿宋" w:hAnsi="仿宋" w:eastAsia="仿宋" w:cs="仿宋"/>
          <w:sz w:val="28"/>
          <w:szCs w:val="28"/>
        </w:rPr>
      </w:pPr>
      <w:r>
        <w:rPr>
          <w:rFonts w:hint="eastAsia" w:ascii="仿宋" w:hAnsi="仿宋" w:eastAsia="仿宋" w:cs="仿宋"/>
          <w:sz w:val="28"/>
          <w:szCs w:val="28"/>
        </w:rPr>
        <w:t>联系方式：13630004183</w:t>
      </w:r>
      <w:bookmarkStart w:name="anc-c1-p5-f68b31a8" w:id="840333"/>
      <w:bookmarkEnd w:id="840333"/>
    </w:p>
    <w:p w14:paraId="01F7DD00">
      <w:pPr>
        <w:spacing w:line="276" w:lineRule="auto"/>
        <w:ind w:right="-756" w:rightChars="-360"/>
        <w:rPr>
          <w:rFonts w:ascii="仿宋" w:hAnsi="仿宋" w:eastAsia="仿宋" w:cs="仿宋"/>
          <w:sz w:val="28"/>
          <w:szCs w:val="28"/>
        </w:rPr>
      </w:pPr>
      <w:r>
        <w:rPr>
          <w:rFonts w:hint="eastAsia" w:ascii="仿宋" w:hAnsi="仿宋" w:eastAsia="仿宋" w:cs="仿宋"/>
          <w:sz w:val="28"/>
          <w:szCs w:val="28"/>
        </w:rPr>
        <w:t>乙方：</w:t>
      </w:r>
      <w:r>
        <w:rPr>
          <w:rFonts w:ascii="仿宋" w:hAnsi="仿宋" w:eastAsia="仿宋" w:cs="仿宋"/>
          <w:sz w:val="28"/>
          <w:szCs w:val="28"/>
        </w:rPr>
        <w:t xml:space="preserve"> </w:t>
      </w:r>
      <w:r>
        <w:rPr>
          <w:rFonts w:hint="eastAsia" w:ascii="仿宋" w:hAnsi="仿宋" w:eastAsia="仿宋" w:cs="仿宋"/>
          <w:sz w:val="28"/>
          <w:szCs w:val="28"/>
        </w:rPr>
        <w:t>中软国际信息技术（佛山）有限公司（以下简称“中软国际”）</w:t>
      </w:r>
      <w:bookmarkStart w:name="anc-c1-p6-4efc463a" w:id="840336"/>
      <w:bookmarkEnd w:id="840336"/>
    </w:p>
    <w:p w14:paraId="1CE60CD0">
      <w:pPr>
        <w:spacing w:line="276" w:lineRule="auto"/>
        <w:ind w:right="-756" w:rightChars="-360"/>
        <w:rPr>
          <w:rFonts w:ascii="仿宋" w:hAnsi="仿宋" w:eastAsia="仿宋" w:cs="仿宋"/>
          <w:sz w:val="28"/>
          <w:szCs w:val="28"/>
        </w:rPr>
      </w:pPr>
      <w:r>
        <w:rPr>
          <w:rFonts w:hint="eastAsia" w:ascii="仿宋" w:hAnsi="仿宋" w:eastAsia="仿宋" w:cs="仿宋"/>
          <w:sz w:val="28"/>
          <w:szCs w:val="28"/>
        </w:rPr>
        <w:t>地址： 佛山市禅城区张槎街道古新路70号佛山高新科技园一座18楼</w:t>
      </w:r>
      <w:bookmarkStart w:name="anc-c1-p7-056b4830" w:id="840341"/>
      <w:bookmarkEnd w:id="840341"/>
    </w:p>
    <w:p w14:paraId="408649CD">
      <w:pPr>
        <w:rPr>
          <w:rFonts w:ascii="仿宋" w:hAnsi="仿宋" w:eastAsia="仿宋" w:cs="仿宋"/>
          <w:sz w:val="28"/>
          <w:szCs w:val="28"/>
        </w:rPr>
      </w:pPr>
      <w:r>
        <w:rPr>
          <w:rFonts w:hint="eastAsia" w:ascii="仿宋" w:hAnsi="仿宋" w:eastAsia="仿宋" w:cs="仿宋"/>
          <w:sz w:val="28"/>
          <w:szCs w:val="28"/>
        </w:rPr>
        <w:t>合作对接人：雷国禄</w:t>
      </w:r>
      <w:bookmarkStart w:name="anc-c1-p8-745e41a5" w:id="840344"/>
      <w:bookmarkEnd w:id="840344"/>
    </w:p>
    <w:p w14:paraId="7ACA1DD4">
      <w:pPr>
        <w:rPr>
          <w:rFonts w:ascii="仿宋" w:hAnsi="仿宋" w:eastAsia="仿宋" w:cs="仿宋"/>
          <w:sz w:val="28"/>
          <w:szCs w:val="28"/>
        </w:rPr>
      </w:pPr>
      <w:r>
        <w:rPr>
          <w:rFonts w:hint="eastAsia" w:ascii="仿宋" w:hAnsi="仿宋" w:eastAsia="仿宋" w:cs="仿宋"/>
          <w:sz w:val="28"/>
          <w:szCs w:val="28"/>
        </w:rPr>
        <w:t>联系方式：18680205508</w:t>
      </w:r>
      <w:bookmarkStart w:name="anc-c1-p9-f3075461" w:id="840346"/>
      <w:bookmarkEnd w:id="840346"/>
    </w:p>
    <w:p w14:paraId="36E73E7C">
      <w:pPr>
        <w:rPr>
          <w:rFonts w:ascii="仿宋" w:hAnsi="仿宋" w:eastAsia="仿宋" w:cs="仿宋"/>
          <w:sz w:val="28"/>
          <w:szCs w:val="28"/>
        </w:rPr>
      </w:pPr>
      <w:r>
        <w:rPr>
          <w:rFonts w:hint="eastAsia" w:ascii="仿宋" w:hAnsi="仿宋" w:eastAsia="仿宋" w:cs="仿宋"/>
          <w:sz w:val="28"/>
          <w:szCs w:val="28"/>
        </w:rPr>
        <w:t>甲乙双方就华为云服务销售合同编号：FSCY-20240920001,作以下补充约定：</w:t>
      </w:r>
      <w:bookmarkStart w:name="anc-c1-p10-6348fb29" w:id="840347"/>
      <w:bookmarkEnd w:id="840347"/>
    </w:p>
    <w:p w14:paraId="6054E73F">
      <w:pPr>
        <w:outlineLvl w:val="0"/>
        <w:rPr>
          <w:rFonts w:ascii="仿宋" w:hAnsi="仿宋" w:eastAsia="仿宋" w:cs="仿宋"/>
          <w:b/>
          <w:sz w:val="28"/>
          <w:szCs w:val="28"/>
        </w:rPr>
      </w:pPr>
      <w:r>
        <w:rPr>
          <w:rFonts w:hint="eastAsia" w:ascii="仿宋" w:hAnsi="仿宋" w:eastAsia="仿宋" w:cs="仿宋"/>
          <w:b/>
          <w:sz w:val="28"/>
          <w:szCs w:val="28"/>
        </w:rPr>
        <w:t>第一条 补充协议背景</w:t>
      </w:r>
      <w:bookmarkStart w:name="anc-c2-d03e6203" w:id="840349"/>
      <w:bookmarkEnd w:id="840349"/>
      <w:bookmarkStart w:name="anc-c2-p1-c74c6616" w:id="840354"/>
      <w:bookmarkEnd w:id="840354"/>
    </w:p>
    <w:p w14:paraId="6FA22200">
      <w:pPr>
        <w:spacing w:line="360" w:lineRule="auto"/>
        <w:ind w:firstLine="560" w:firstLineChars="200"/>
        <w:rPr>
          <w:rStyle w:val="23"/>
          <w:rFonts w:ascii="仿宋" w:hAnsi="仿宋" w:eastAsia="仿宋" w:cs="仿宋"/>
          <w:sz w:val="28"/>
          <w:szCs w:val="28"/>
        </w:rPr>
      </w:pPr>
      <w:r>
        <w:rPr>
          <w:rFonts w:hint="eastAsia" w:ascii="仿宋" w:hAnsi="仿宋" w:eastAsia="仿宋" w:cs="仿宋"/>
          <w:sz w:val="28"/>
          <w:szCs w:val="28"/>
        </w:rPr>
        <w:t>2024年9月，创意新材料与中软国际签订《华为云服务销售协议》，现项目在实施过程中，因企业业务需求，需新增业务实施板块，以达到满足企业需求使用，经双方友好协商，对原项目进行需求增加。</w:t>
      </w:r>
      <w:bookmarkStart w:name="anc-c2-p2-48dd3cb7" w:id="840359"/>
      <w:bookmarkEnd w:id="840359"/>
    </w:p>
    <w:p w14:paraId="39FF5722">
      <w:pPr>
        <w:spacing w:line="360" w:lineRule="auto"/>
        <w:ind w:firstLine="560" w:firstLineChars="200"/>
        <w:rPr>
          <w:rFonts w:ascii="仿宋" w:hAnsi="仿宋" w:eastAsia="仿宋" w:cs="仿宋"/>
          <w:sz w:val="28"/>
          <w:szCs w:val="28"/>
        </w:rPr>
      </w:pPr>
    </w:p>
    <w:p w14:paraId="13BE7405">
      <w:pPr>
        <w:spacing w:line="360" w:lineRule="auto"/>
        <w:rPr>
          <w:rFonts w:ascii="仿宋" w:hAnsi="仿宋" w:eastAsia="仿宋" w:cs="仿宋"/>
          <w:b/>
          <w:sz w:val="28"/>
          <w:szCs w:val="28"/>
        </w:rPr>
      </w:pPr>
      <w:r>
        <w:rPr>
          <w:rFonts w:hint="eastAsia" w:ascii="仿宋" w:hAnsi="仿宋" w:eastAsia="仿宋" w:cs="仿宋"/>
          <w:b/>
          <w:sz w:val="28"/>
          <w:szCs w:val="28"/>
        </w:rPr>
        <w:t>第二条 补充协议内容</w:t>
      </w:r>
      <w:bookmarkStart w:name="anc-c3-5bb5c88d" w:id="840362"/>
      <w:bookmarkEnd w:id="840362"/>
      <w:bookmarkStart w:name="anc-c3-p1-f635ed50" w:id="840365"/>
      <w:bookmarkEnd w:id="840365"/>
    </w:p>
    <w:p w14:paraId="0C758DEE">
      <w:pPr>
        <w:spacing w:line="360" w:lineRule="auto"/>
        <w:rPr>
          <w:rFonts w:ascii="仿宋" w:hAnsi="仿宋" w:eastAsia="仿宋" w:cs="仿宋"/>
          <w:sz w:val="28"/>
          <w:szCs w:val="28"/>
        </w:rPr>
      </w:pPr>
      <w:r>
        <w:rPr>
          <w:rFonts w:hint="eastAsia" w:ascii="仿宋" w:hAnsi="仿宋" w:eastAsia="仿宋" w:cs="仿宋"/>
          <w:sz w:val="28"/>
          <w:szCs w:val="28"/>
        </w:rPr>
        <w:t>1、本次新增PLM（工艺配方样品）需求，报价清单详见附件</w:t>
      </w:r>
      <w:r>
        <w:rPr>
          <w:rFonts w:ascii="仿宋" w:hAnsi="仿宋" w:eastAsia="仿宋" w:cs="仿宋"/>
          <w:sz w:val="28"/>
          <w:szCs w:val="28"/>
        </w:rPr>
        <w:t>1</w:t>
      </w:r>
      <w:r>
        <w:rPr>
          <w:rFonts w:hint="eastAsia" w:ascii="仿宋" w:hAnsi="仿宋" w:eastAsia="仿宋" w:cs="仿宋"/>
          <w:sz w:val="28"/>
          <w:szCs w:val="28"/>
        </w:rPr>
        <w:t>【华为云商品及服务清单】，实施标准及要求按原协议执行。</w:t>
      </w:r>
      <w:bookmarkStart w:name="anc-c4-95a04e07" w:id="840367"/>
      <w:bookmarkEnd w:id="840367"/>
      <w:bookmarkStart w:name="anc-c4-p1-3629ac80" w:id="840375"/>
      <w:bookmarkEnd w:id="840375"/>
    </w:p>
    <w:p w14:paraId="14D29A16">
      <w:pPr>
        <w:pStyle w:val="2"/>
        <w:ind w:firstLine="0" w:firstLineChars="0"/>
        <w:rPr>
          <w:rFonts w:ascii="仿宋" w:hAnsi="仿宋" w:eastAsia="仿宋" w:cs="仿宋"/>
          <w:sz w:val="28"/>
          <w:szCs w:val="28"/>
        </w:rPr>
      </w:pPr>
      <w:r>
        <w:rPr>
          <w:rFonts w:hint="eastAsia" w:ascii="仿宋" w:hAnsi="仿宋" w:eastAsia="仿宋" w:cs="仿宋"/>
          <w:sz w:val="28"/>
          <w:szCs w:val="28"/>
        </w:rPr>
        <w:t>2.本协议经双方签字盖章后按以下付款进度和结算方式进行协议款项的支付：359</w:t>
      </w:r>
      <w:r>
        <w:rPr>
          <w:rFonts w:ascii="仿宋" w:hAnsi="仿宋" w:eastAsia="仿宋" w:cs="仿宋"/>
          <w:sz w:val="28"/>
          <w:szCs w:val="28"/>
        </w:rPr>
        <w:t>,</w:t>
      </w:r>
      <w:r>
        <w:rPr>
          <w:rFonts w:hint="eastAsia" w:ascii="仿宋" w:hAnsi="仿宋" w:eastAsia="仿宋" w:cs="仿宋"/>
          <w:sz w:val="28"/>
          <w:szCs w:val="28"/>
        </w:rPr>
        <w:t>500.00元整（人民币：叁拾伍万玖千伍佰元整。）</w:t>
      </w:r>
      <w:bookmarkStart w:name="anc-c5-7934a6a2" w:id="840377"/>
      <w:bookmarkEnd w:id="840377"/>
      <w:bookmarkStart w:name="anc-c5-p1-8439d583" w:id="840389"/>
      <w:bookmarkEnd w:id="840389"/>
    </w:p>
    <w:tbl>
      <w:tblPr>
        <w:tblStyle w:val="11"/>
        <w:tblW w:w="475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1553"/>
        <w:gridCol w:w="1798"/>
        <w:gridCol w:w="3811"/>
      </w:tblGrid>
      <w:tr w14:paraId="5E89E711">
        <w:trPr>
          <w:jc w:val="center"/>
        </w:trPr>
        <w:tc>
          <w:tcPr>
            <w:tcW w:w="577" w:type="pct"/>
            <w:vAlign w:val="center"/>
          </w:tcPr>
          <w:p w14:paraId="73F1A713">
            <w:pPr>
              <w:pStyle w:val="2"/>
              <w:ind w:firstLine="0" w:firstLineChars="0"/>
              <w:jc w:val="center"/>
              <w:rPr>
                <w:rFonts w:ascii="仿宋" w:hAnsi="仿宋" w:eastAsia="仿宋" w:cs="仿宋"/>
                <w:szCs w:val="24"/>
              </w:rPr>
            </w:pPr>
            <w:r>
              <w:rPr>
                <w:rFonts w:hint="eastAsia" w:ascii="仿宋" w:hAnsi="仿宋" w:eastAsia="仿宋" w:cs="仿宋"/>
                <w:szCs w:val="24"/>
              </w:rPr>
              <w:t>序号</w:t>
            </w:r>
          </w:p>
        </w:tc>
        <w:tc>
          <w:tcPr>
            <w:tcW w:w="958" w:type="pct"/>
            <w:vAlign w:val="center"/>
          </w:tcPr>
          <w:p w14:paraId="18A37246">
            <w:pPr>
              <w:pStyle w:val="2"/>
              <w:ind w:firstLine="0" w:firstLineChars="0"/>
              <w:jc w:val="left"/>
              <w:rPr>
                <w:rFonts w:ascii="仿宋" w:hAnsi="仿宋" w:eastAsia="仿宋" w:cs="仿宋"/>
                <w:szCs w:val="24"/>
              </w:rPr>
            </w:pPr>
            <w:r>
              <w:rPr>
                <w:rFonts w:hint="eastAsia" w:ascii="仿宋" w:hAnsi="仿宋" w:eastAsia="仿宋" w:cs="仿宋"/>
                <w:szCs w:val="24"/>
              </w:rPr>
              <w:t>项目里程碑</w:t>
            </w:r>
          </w:p>
        </w:tc>
        <w:tc>
          <w:tcPr>
            <w:tcW w:w="1110" w:type="pct"/>
            <w:vAlign w:val="center"/>
          </w:tcPr>
          <w:p w14:paraId="1428C1C3">
            <w:pPr>
              <w:pStyle w:val="2"/>
              <w:ind w:firstLine="0" w:firstLineChars="0"/>
              <w:jc w:val="center"/>
              <w:rPr>
                <w:rFonts w:ascii="仿宋" w:hAnsi="仿宋" w:eastAsia="仿宋" w:cs="仿宋"/>
                <w:szCs w:val="24"/>
              </w:rPr>
            </w:pPr>
            <w:r>
              <w:rPr>
                <w:rFonts w:hint="eastAsia" w:ascii="仿宋" w:hAnsi="仿宋" w:eastAsia="仿宋" w:cs="仿宋"/>
                <w:szCs w:val="24"/>
              </w:rPr>
              <w:t>结算金额（元）</w:t>
            </w:r>
          </w:p>
        </w:tc>
        <w:tc>
          <w:tcPr>
            <w:tcW w:w="2353" w:type="pct"/>
            <w:vAlign w:val="center"/>
          </w:tcPr>
          <w:p w14:paraId="7A9E1C32">
            <w:pPr>
              <w:pStyle w:val="2"/>
              <w:ind w:firstLine="0" w:firstLineChars="0"/>
              <w:jc w:val="center"/>
              <w:rPr>
                <w:rFonts w:hint="default" w:ascii="仿宋" w:hAnsi="仿宋" w:eastAsia="仿宋" w:cs="仿宋"/>
                <w:szCs w:val="24"/>
                <w:lang w:val="en-US" w:eastAsia="zh-CN"/>
              </w:rPr>
            </w:pPr>
            <w:r>
              <w:rPr>
                <w:rFonts w:hint="eastAsia" w:ascii="仿宋" w:hAnsi="仿宋" w:eastAsia="仿宋" w:cs="仿宋"/>
                <w:szCs w:val="24"/>
              </w:rPr>
              <w:t>付款</w:t>
            </w:r>
            <w:r>
              <w:rPr>
                <w:rFonts w:hint="eastAsia" w:ascii="仿宋" w:hAnsi="仿宋" w:eastAsia="仿宋" w:cs="仿宋"/>
                <w:szCs w:val="24"/>
                <w:lang w:val="en-US" w:eastAsia="zh-CN"/>
              </w:rPr>
              <w:t>及备注</w:t>
            </w:r>
          </w:p>
        </w:tc>
      </w:tr>
      <w:tr w14:paraId="2910AC1C">
        <w:trPr>
          <w:jc w:val="center"/>
        </w:trPr>
        <w:tc>
          <w:tcPr>
            <w:tcW w:w="577" w:type="pct"/>
            <w:vAlign w:val="center"/>
          </w:tcPr>
          <w:p w14:paraId="6B726505">
            <w:pPr>
              <w:pStyle w:val="2"/>
              <w:ind w:firstLine="0" w:firstLineChars="0"/>
              <w:jc w:val="center"/>
              <w:rPr>
                <w:rFonts w:ascii="仿宋" w:hAnsi="仿宋" w:eastAsia="仿宋" w:cs="仿宋"/>
                <w:szCs w:val="24"/>
              </w:rPr>
            </w:pPr>
            <w:r>
              <w:rPr>
                <w:rFonts w:hint="eastAsia" w:ascii="仿宋" w:hAnsi="仿宋" w:eastAsia="仿宋" w:cs="仿宋"/>
                <w:szCs w:val="24"/>
              </w:rPr>
              <w:t>1</w:t>
            </w:r>
          </w:p>
        </w:tc>
        <w:tc>
          <w:tcPr>
            <w:tcW w:w="958" w:type="pct"/>
            <w:vAlign w:val="center"/>
          </w:tcPr>
          <w:p w14:paraId="1E9A5599">
            <w:pPr>
              <w:pStyle w:val="2"/>
              <w:ind w:firstLine="0" w:firstLineChars="0"/>
              <w:jc w:val="left"/>
              <w:rPr>
                <w:rFonts w:ascii="仿宋" w:hAnsi="仿宋" w:eastAsia="仿宋" w:cs="仿宋"/>
                <w:szCs w:val="24"/>
              </w:rPr>
            </w:pPr>
            <w:r>
              <w:rPr>
                <w:rFonts w:hint="eastAsia" w:ascii="仿宋" w:hAnsi="仿宋" w:eastAsia="仿宋" w:cs="仿宋"/>
                <w:szCs w:val="24"/>
              </w:rPr>
              <w:t>业务流程预付款</w:t>
            </w:r>
          </w:p>
        </w:tc>
        <w:tc>
          <w:tcPr>
            <w:tcW w:w="1110" w:type="pct"/>
            <w:vAlign w:val="center"/>
          </w:tcPr>
          <w:p w14:paraId="31C81861">
            <w:pPr>
              <w:pStyle w:val="2"/>
              <w:ind w:firstLine="0" w:firstLineChars="0"/>
              <w:jc w:val="center"/>
              <w:rPr>
                <w:rFonts w:ascii="仿宋" w:hAnsi="仿宋" w:eastAsia="仿宋" w:cs="仿宋"/>
                <w:szCs w:val="24"/>
              </w:rPr>
            </w:pPr>
            <w:r>
              <w:rPr>
                <w:rFonts w:hint="eastAsia" w:ascii="仿宋" w:hAnsi="仿宋" w:eastAsia="仿宋" w:cs="仿宋"/>
                <w:szCs w:val="24"/>
              </w:rPr>
              <w:t>17</w:t>
            </w:r>
            <w:r>
              <w:rPr>
                <w:rFonts w:hint="eastAsia" w:ascii="仿宋" w:hAnsi="仿宋" w:eastAsia="仿宋" w:cs="仿宋"/>
                <w:szCs w:val="24"/>
                <w:lang w:val="en-US" w:eastAsia="zh-CN"/>
              </w:rPr>
              <w:t>8</w:t>
            </w:r>
            <w:r>
              <w:rPr>
                <w:rFonts w:hint="eastAsia" w:ascii="仿宋" w:hAnsi="仿宋" w:eastAsia="仿宋" w:cs="仿宋"/>
                <w:szCs w:val="24"/>
              </w:rPr>
              <w:t>,</w:t>
            </w:r>
            <w:r>
              <w:rPr>
                <w:rFonts w:hint="eastAsia" w:ascii="仿宋" w:hAnsi="仿宋" w:eastAsia="仿宋" w:cs="仿宋"/>
                <w:szCs w:val="24"/>
                <w:lang w:val="en-US" w:eastAsia="zh-CN"/>
              </w:rPr>
              <w:t>50</w:t>
            </w:r>
            <w:bookmarkStart w:id="1" w:name="_GoBack"/>
            <w:bookmarkEnd w:id="1"/>
            <w:r>
              <w:rPr>
                <w:rFonts w:hint="eastAsia" w:ascii="仿宋" w:hAnsi="仿宋" w:eastAsia="仿宋" w:cs="仿宋"/>
                <w:szCs w:val="24"/>
              </w:rPr>
              <w:t>0.00</w:t>
            </w:r>
          </w:p>
        </w:tc>
        <w:tc>
          <w:tcPr>
            <w:tcW w:w="2353" w:type="pct"/>
            <w:vAlign w:val="center"/>
          </w:tcPr>
          <w:p w14:paraId="645BFDEE">
            <w:pPr>
              <w:pStyle w:val="2"/>
              <w:ind w:firstLine="0" w:firstLineChars="0"/>
              <w:jc w:val="left"/>
              <w:rPr>
                <w:rFonts w:hint="eastAsia" w:ascii="仿宋" w:hAnsi="仿宋" w:eastAsia="仿宋" w:cs="仿宋"/>
                <w:szCs w:val="24"/>
                <w:lang w:val="en-US" w:eastAsia="zh-CN"/>
              </w:rPr>
            </w:pPr>
            <w:r>
              <w:rPr>
                <w:rFonts w:hint="eastAsia" w:ascii="仿宋" w:hAnsi="仿宋" w:eastAsia="仿宋" w:cs="仿宋"/>
                <w:szCs w:val="24"/>
              </w:rPr>
              <w:t>在本协议签署后5个工作日内付款，客户预付后做预付确认，客户预付确认后乙方开始提供服务；</w:t>
            </w:r>
          </w:p>
        </w:tc>
      </w:tr>
      <w:tr w14:paraId="53C4A876">
        <w:trPr>
          <w:jc w:val="center"/>
        </w:trPr>
        <w:tc>
          <w:tcPr>
            <w:tcW w:w="577" w:type="pct"/>
            <w:vAlign w:val="center"/>
          </w:tcPr>
          <w:p w14:paraId="7FA7841C">
            <w:pPr>
              <w:pStyle w:val="2"/>
              <w:ind w:firstLine="0" w:firstLineChars="0"/>
              <w:jc w:val="center"/>
              <w:rPr>
                <w:rFonts w:ascii="仿宋" w:hAnsi="仿宋" w:eastAsia="仿宋" w:cs="仿宋"/>
                <w:szCs w:val="24"/>
              </w:rPr>
            </w:pPr>
            <w:r>
              <w:rPr>
                <w:rFonts w:hint="eastAsia" w:ascii="仿宋" w:hAnsi="仿宋" w:eastAsia="仿宋" w:cs="仿宋"/>
                <w:szCs w:val="24"/>
              </w:rPr>
              <w:t>2</w:t>
            </w:r>
          </w:p>
        </w:tc>
        <w:tc>
          <w:tcPr>
            <w:tcW w:w="958" w:type="pct"/>
            <w:vAlign w:val="center"/>
          </w:tcPr>
          <w:p w14:paraId="5884337C">
            <w:pPr>
              <w:pStyle w:val="2"/>
              <w:ind w:firstLine="0" w:firstLineChars="0"/>
              <w:jc w:val="left"/>
              <w:rPr>
                <w:rFonts w:ascii="仿宋" w:hAnsi="仿宋" w:eastAsia="仿宋" w:cs="仿宋"/>
                <w:szCs w:val="24"/>
              </w:rPr>
            </w:pPr>
            <w:r>
              <w:rPr>
                <w:rFonts w:hint="eastAsia" w:ascii="仿宋" w:hAnsi="仿宋" w:eastAsia="仿宋" w:cs="仿宋"/>
                <w:szCs w:val="24"/>
              </w:rPr>
              <w:t>业务流程通过后支付</w:t>
            </w:r>
          </w:p>
        </w:tc>
        <w:tc>
          <w:tcPr>
            <w:tcW w:w="1110" w:type="pct"/>
            <w:vAlign w:val="center"/>
          </w:tcPr>
          <w:p w14:paraId="0D94A2BE">
            <w:pPr>
              <w:pStyle w:val="2"/>
              <w:ind w:firstLine="0" w:firstLineChars="0"/>
              <w:jc w:val="center"/>
              <w:rPr>
                <w:rFonts w:ascii="仿宋" w:hAnsi="仿宋" w:eastAsia="仿宋" w:cs="仿宋"/>
                <w:szCs w:val="24"/>
              </w:rPr>
            </w:pPr>
            <w:r>
              <w:rPr>
                <w:rFonts w:hint="eastAsia" w:ascii="仿宋" w:hAnsi="仿宋" w:eastAsia="仿宋" w:cs="仿宋"/>
                <w:szCs w:val="24"/>
              </w:rPr>
              <w:t>1</w:t>
            </w:r>
            <w:r>
              <w:rPr>
                <w:rFonts w:hint="eastAsia" w:ascii="仿宋" w:hAnsi="仿宋" w:eastAsia="仿宋" w:cs="仿宋"/>
                <w:szCs w:val="24"/>
                <w:lang w:val="en-US" w:eastAsia="zh-CN"/>
              </w:rPr>
              <w:t>81</w:t>
            </w:r>
            <w:r>
              <w:rPr>
                <w:rFonts w:hint="default" w:ascii="仿宋" w:hAnsi="仿宋" w:eastAsia="仿宋" w:cs="仿宋"/>
                <w:szCs w:val="24"/>
                <w:lang w:val="en-US" w:eastAsia="zh-CN"/>
              </w:rPr>
              <w:t>,00</w:t>
            </w:r>
            <w:r>
              <w:rPr>
                <w:rFonts w:hint="eastAsia" w:ascii="仿宋" w:hAnsi="仿宋" w:eastAsia="仿宋" w:cs="仿宋"/>
                <w:szCs w:val="24"/>
              </w:rPr>
              <w:t>0.00</w:t>
            </w:r>
          </w:p>
        </w:tc>
        <w:tc>
          <w:tcPr>
            <w:tcW w:w="2353" w:type="pct"/>
            <w:vAlign w:val="center"/>
          </w:tcPr>
          <w:p w14:paraId="1A341D0E">
            <w:pPr>
              <w:pStyle w:val="2"/>
              <w:ind w:firstLine="0" w:firstLineChars="0"/>
              <w:jc w:val="left"/>
              <w:rPr>
                <w:rFonts w:hint="eastAsia" w:ascii="仿宋" w:hAnsi="仿宋" w:eastAsia="仿宋" w:cs="仿宋"/>
                <w:szCs w:val="24"/>
                <w:lang w:eastAsia="zh-CN"/>
              </w:rPr>
            </w:pPr>
            <w:r>
              <w:rPr>
                <w:rFonts w:hint="eastAsia" w:ascii="仿宋" w:hAnsi="仿宋" w:eastAsia="仿宋" w:cs="仿宋"/>
                <w:szCs w:val="24"/>
              </w:rPr>
              <w:t>乙方递交业务流程通过后经甲方验收通过后5个工作日内付款，原型</w:t>
            </w:r>
            <w:r>
              <w:rPr>
                <w:rFonts w:hint="eastAsia" w:ascii="仿宋" w:hAnsi="仿宋" w:eastAsia="仿宋" w:cs="仿宋"/>
                <w:szCs w:val="24"/>
                <w:lang w:val="en-US" w:eastAsia="zh-CN"/>
              </w:rPr>
              <w:t>通过客户</w:t>
            </w:r>
            <w:r>
              <w:rPr>
                <w:rFonts w:hint="eastAsia" w:ascii="仿宋" w:hAnsi="仿宋" w:eastAsia="仿宋" w:cs="仿宋"/>
                <w:szCs w:val="24"/>
              </w:rPr>
              <w:t>确认后做付款确认</w:t>
            </w:r>
            <w:r>
              <w:rPr>
                <w:rFonts w:hint="eastAsia" w:ascii="仿宋" w:hAnsi="仿宋" w:eastAsia="仿宋" w:cs="仿宋"/>
                <w:szCs w:val="24"/>
                <w:lang w:eastAsia="zh-CN"/>
              </w:rPr>
              <w:t>；</w:t>
            </w:r>
          </w:p>
        </w:tc>
      </w:tr>
      <w:tr w14:paraId="059CDE2B">
        <w:trPr>
          <w:jc w:val="center"/>
        </w:trPr>
        <w:tc>
          <w:tcPr>
            <w:tcW w:w="577" w:type="pct"/>
            <w:vAlign w:val="center"/>
          </w:tcPr>
          <w:p w14:paraId="1E621F4D">
            <w:pPr>
              <w:pStyle w:val="2"/>
              <w:ind w:firstLine="0" w:firstLineChars="0"/>
              <w:jc w:val="center"/>
              <w:rPr>
                <w:rFonts w:ascii="仿宋" w:hAnsi="仿宋" w:eastAsia="仿宋" w:cs="仿宋"/>
                <w:szCs w:val="24"/>
              </w:rPr>
            </w:pPr>
            <w:r>
              <w:rPr>
                <w:rFonts w:hint="eastAsia" w:ascii="仿宋" w:hAnsi="仿宋" w:eastAsia="仿宋" w:cs="仿宋"/>
                <w:szCs w:val="24"/>
              </w:rPr>
              <w:t>合计</w:t>
            </w:r>
          </w:p>
        </w:tc>
        <w:tc>
          <w:tcPr>
            <w:tcW w:w="958" w:type="pct"/>
            <w:vAlign w:val="center"/>
          </w:tcPr>
          <w:p w14:paraId="0D21C2AB">
            <w:pPr>
              <w:pStyle w:val="2"/>
              <w:ind w:firstLine="0" w:firstLineChars="0"/>
              <w:jc w:val="center"/>
              <w:rPr>
                <w:rFonts w:ascii="仿宋" w:hAnsi="仿宋" w:eastAsia="仿宋" w:cs="仿宋"/>
                <w:szCs w:val="24"/>
              </w:rPr>
            </w:pPr>
          </w:p>
        </w:tc>
        <w:tc>
          <w:tcPr>
            <w:tcW w:w="1110" w:type="pct"/>
            <w:vAlign w:val="center"/>
          </w:tcPr>
          <w:p w14:paraId="07AC4473">
            <w:pPr>
              <w:pStyle w:val="2"/>
              <w:ind w:firstLine="0" w:firstLineChars="0"/>
              <w:jc w:val="center"/>
              <w:rPr>
                <w:rFonts w:ascii="仿宋" w:hAnsi="仿宋" w:eastAsia="仿宋" w:cs="仿宋"/>
                <w:szCs w:val="24"/>
              </w:rPr>
            </w:pPr>
            <w:r>
              <w:rPr>
                <w:rFonts w:hint="eastAsia" w:ascii="仿宋" w:hAnsi="仿宋" w:eastAsia="仿宋" w:cs="仿宋"/>
                <w:szCs w:val="24"/>
              </w:rPr>
              <w:t>359</w:t>
            </w:r>
            <w:r>
              <w:rPr>
                <w:rFonts w:ascii="仿宋" w:hAnsi="仿宋" w:eastAsia="仿宋" w:cs="仿宋"/>
                <w:szCs w:val="24"/>
              </w:rPr>
              <w:t>,</w:t>
            </w:r>
            <w:r>
              <w:rPr>
                <w:rFonts w:hint="eastAsia" w:ascii="仿宋" w:hAnsi="仿宋" w:eastAsia="仿宋" w:cs="仿宋"/>
                <w:szCs w:val="24"/>
              </w:rPr>
              <w:t>500.00</w:t>
            </w:r>
          </w:p>
        </w:tc>
        <w:tc>
          <w:tcPr>
            <w:tcW w:w="2353" w:type="pct"/>
            <w:vAlign w:val="center"/>
          </w:tcPr>
          <w:p w14:paraId="1EC82B28">
            <w:pPr>
              <w:pStyle w:val="2"/>
              <w:ind w:firstLine="0" w:firstLineChars="0"/>
              <w:jc w:val="center"/>
              <w:rPr>
                <w:rFonts w:ascii="仿宋" w:hAnsi="仿宋" w:eastAsia="仿宋" w:cs="仿宋"/>
                <w:szCs w:val="24"/>
              </w:rPr>
            </w:pPr>
          </w:p>
        </w:tc>
      </w:tr>
    </w:tbl>
    <w:p w14:paraId="5460677A">
      <w:pPr>
        <w:pStyle w:val="2"/>
        <w:ind w:firstLine="0" w:firstLineChars="0"/>
        <w:rPr>
          <w:rFonts w:ascii="仿宋" w:hAnsi="仿宋" w:eastAsia="仿宋" w:cs="仿宋"/>
          <w:sz w:val="28"/>
          <w:szCs w:val="28"/>
        </w:rPr>
      </w:pPr>
    </w:p>
    <w:p w14:paraId="0D399EB9">
      <w:pPr>
        <w:pStyle w:val="2"/>
        <w:ind w:firstLine="0" w:firstLineChars="0"/>
        <w:rPr>
          <w:rFonts w:ascii="仿宋" w:hAnsi="仿宋" w:eastAsia="仿宋" w:cs="仿宋"/>
          <w:sz w:val="28"/>
          <w:szCs w:val="28"/>
        </w:rPr>
      </w:pPr>
      <w:r>
        <w:rPr>
          <w:rFonts w:hint="eastAsia" w:ascii="仿宋" w:hAnsi="仿宋" w:eastAsia="仿宋" w:cs="仿宋"/>
          <w:sz w:val="28"/>
          <w:szCs w:val="28"/>
        </w:rPr>
        <w:t xml:space="preserve">3、乙方承诺，在本合同有效期内，乙方自收到甲方对应阶段的自付费款项后，应在3个工作日内将收到的甲方款项全额充入甲方云服务账户（甲方云服务账号：华为云服务账号： </w:t>
      </w:r>
      <w:r>
        <w:rPr>
          <w:rFonts w:ascii="仿宋" w:hAnsi="仿宋" w:eastAsia="仿宋" w:cs="仿宋"/>
          <w:sz w:val="28"/>
          <w:szCs w:val="28"/>
        </w:rPr>
        <w:t>hid_ykszfnhbggulw82</w:t>
      </w:r>
      <w:r>
        <w:rPr>
          <w:rFonts w:hint="eastAsia" w:ascii="仿宋" w:hAnsi="仿宋" w:eastAsia="仿宋" w:cs="仿宋"/>
          <w:sz w:val="28"/>
          <w:szCs w:val="28"/>
        </w:rPr>
        <w:t>），并向甲方开具相应自付费金额、符合国家规定的增值税专用发票，税率为 6%。</w:t>
      </w:r>
      <w:bookmarkStart w:name="anc-c6-4992e281" w:id="840391"/>
      <w:bookmarkEnd w:id="840391"/>
      <w:bookmarkStart w:name="anc-c6-p1-a68a6fe0" w:id="840393"/>
      <w:bookmarkEnd w:id="840393"/>
    </w:p>
    <w:p w14:paraId="60289AD8">
      <w:pPr>
        <w:widowControl/>
        <w:jc w:val="left"/>
        <w:rPr>
          <w:rFonts w:ascii="仿宋" w:hAnsi="仿宋" w:eastAsia="仿宋" w:cs="仿宋"/>
          <w:sz w:val="28"/>
          <w:szCs w:val="28"/>
        </w:rPr>
      </w:pPr>
      <w:r>
        <w:rPr>
          <w:rFonts w:hint="eastAsia" w:ascii="仿宋" w:hAnsi="仿宋" w:eastAsia="仿宋" w:cs="仿宋"/>
          <w:sz w:val="28"/>
          <w:szCs w:val="28"/>
        </w:rPr>
        <w:t>4、后续年运营维护费用，双方按该附加项目合同金额的3%/年缴纳，缴费起始日自项目验收成功之日起计算。若该补充的项目运行稳定，甲方可根据自身运营情况停止付费。运营维护服务标准按原项目SOW规定的服务标准交付。</w:t>
      </w:r>
      <w:bookmarkStart w:name="anc-c7-9c7a2a27" w:id="840395"/>
      <w:bookmarkEnd w:id="840395"/>
      <w:bookmarkStart w:name="anc-c7-p1-0eebb0c2" w:id="840399"/>
      <w:bookmarkEnd w:id="840399"/>
    </w:p>
    <w:p w14:paraId="352A09DE">
      <w:pPr>
        <w:pStyle w:val="2"/>
        <w:ind w:firstLine="0" w:firstLineChars="0"/>
        <w:rPr>
          <w:rFonts w:ascii="仿宋" w:hAnsi="仿宋" w:eastAsia="仿宋" w:cs="仿宋"/>
          <w:sz w:val="28"/>
          <w:szCs w:val="28"/>
        </w:rPr>
      </w:pPr>
      <w:r>
        <w:rPr>
          <w:rFonts w:ascii="仿宋" w:hAnsi="仿宋" w:eastAsia="仿宋" w:cs="仿宋"/>
          <w:sz w:val="28"/>
          <w:szCs w:val="28"/>
        </w:rPr>
        <w:t>5</w:t>
      </w:r>
      <w:r>
        <w:rPr>
          <w:rFonts w:hint="eastAsia" w:ascii="仿宋" w:hAnsi="仿宋" w:eastAsia="仿宋" w:cs="仿宋"/>
          <w:sz w:val="28"/>
          <w:szCs w:val="28"/>
        </w:rPr>
        <w:t>、退款处理将遵循以下原则:1)对已验收的服务对应款项的处理:华为云将对已完成并通过阶段性验收的服务部分进行费用结算。2)对未验收对应款项的处理:对于甲方未确认验收部分，按照双方协商结果或参照下表进行退款处理。</w:t>
      </w:r>
      <w:bookmarkStart w:name="anc-c8-ae2557a7" w:id="840404"/>
      <w:bookmarkEnd w:id="840404"/>
      <w:bookmarkStart w:name="anc-c8-p1-8ceef80c" w:id="840409"/>
      <w:bookmarkEnd w:id="840409"/>
    </w:p>
    <w:tbl>
      <w:tblPr>
        <w:tblStyle w:val="11"/>
        <w:tblW w:w="47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2605"/>
        <w:gridCol w:w="1485"/>
        <w:gridCol w:w="1458"/>
        <w:gridCol w:w="1455"/>
      </w:tblGrid>
      <w:tr w14:paraId="3AADD824">
        <w:trPr>
          <w:jc w:val="center"/>
        </w:trPr>
        <w:tc>
          <w:tcPr>
            <w:tcW w:w="710" w:type="pct"/>
            <w:vAlign w:val="center"/>
          </w:tcPr>
          <w:p w14:paraId="37ED95E8">
            <w:pPr>
              <w:pStyle w:val="2"/>
              <w:ind w:firstLine="0" w:firstLineChars="0"/>
              <w:jc w:val="center"/>
              <w:rPr>
                <w:rFonts w:ascii="仿宋" w:hAnsi="仿宋" w:eastAsia="仿宋" w:cs="仿宋"/>
                <w:szCs w:val="24"/>
              </w:rPr>
            </w:pPr>
            <w:r>
              <w:rPr>
                <w:rFonts w:hint="eastAsia" w:ascii="仿宋" w:hAnsi="仿宋" w:eastAsia="仿宋" w:cs="仿宋"/>
                <w:szCs w:val="24"/>
              </w:rPr>
              <w:t>序号</w:t>
            </w:r>
          </w:p>
        </w:tc>
        <w:tc>
          <w:tcPr>
            <w:tcW w:w="1596" w:type="pct"/>
            <w:vAlign w:val="center"/>
          </w:tcPr>
          <w:p w14:paraId="309CA5F2">
            <w:pPr>
              <w:pStyle w:val="2"/>
              <w:ind w:firstLine="0" w:firstLineChars="0"/>
              <w:jc w:val="center"/>
              <w:rPr>
                <w:rFonts w:ascii="仿宋" w:hAnsi="仿宋" w:eastAsia="仿宋" w:cs="仿宋"/>
                <w:szCs w:val="24"/>
              </w:rPr>
            </w:pPr>
            <w:r>
              <w:rPr>
                <w:rFonts w:hint="eastAsia" w:ascii="仿宋" w:hAnsi="仿宋" w:eastAsia="仿宋" w:cs="仿宋"/>
                <w:szCs w:val="24"/>
              </w:rPr>
              <w:t>退款条件</w:t>
            </w:r>
          </w:p>
        </w:tc>
        <w:tc>
          <w:tcPr>
            <w:tcW w:w="910" w:type="pct"/>
            <w:vAlign w:val="center"/>
          </w:tcPr>
          <w:p w14:paraId="04970564">
            <w:pPr>
              <w:pStyle w:val="2"/>
              <w:ind w:firstLine="0" w:firstLineChars="0"/>
              <w:jc w:val="center"/>
              <w:rPr>
                <w:rFonts w:ascii="仿宋" w:hAnsi="仿宋" w:eastAsia="仿宋" w:cs="仿宋"/>
                <w:szCs w:val="24"/>
              </w:rPr>
            </w:pPr>
            <w:r>
              <w:rPr>
                <w:rFonts w:hint="eastAsia" w:ascii="仿宋" w:hAnsi="仿宋" w:eastAsia="仿宋" w:cs="仿宋"/>
                <w:szCs w:val="24"/>
              </w:rPr>
              <w:t>已付总金额</w:t>
            </w:r>
          </w:p>
        </w:tc>
        <w:tc>
          <w:tcPr>
            <w:tcW w:w="893" w:type="pct"/>
            <w:vAlign w:val="center"/>
          </w:tcPr>
          <w:p w14:paraId="30B683F4">
            <w:pPr>
              <w:pStyle w:val="2"/>
              <w:ind w:firstLine="0" w:firstLineChars="0"/>
              <w:jc w:val="center"/>
              <w:rPr>
                <w:rFonts w:ascii="仿宋" w:hAnsi="仿宋" w:eastAsia="仿宋" w:cs="仿宋"/>
                <w:szCs w:val="24"/>
              </w:rPr>
            </w:pPr>
            <w:r>
              <w:rPr>
                <w:rFonts w:hint="eastAsia" w:ascii="仿宋" w:hAnsi="仿宋" w:eastAsia="仿宋" w:cs="仿宋"/>
                <w:szCs w:val="24"/>
              </w:rPr>
              <w:t>对应可退金额上限</w:t>
            </w:r>
          </w:p>
        </w:tc>
        <w:tc>
          <w:tcPr>
            <w:tcW w:w="891" w:type="pct"/>
            <w:vAlign w:val="center"/>
          </w:tcPr>
          <w:p w14:paraId="64F0EB13">
            <w:pPr>
              <w:pStyle w:val="2"/>
              <w:ind w:firstLine="0" w:firstLineChars="0"/>
              <w:jc w:val="center"/>
              <w:rPr>
                <w:rFonts w:ascii="仿宋" w:hAnsi="仿宋" w:eastAsia="仿宋" w:cs="仿宋"/>
                <w:szCs w:val="24"/>
              </w:rPr>
            </w:pPr>
            <w:r>
              <w:rPr>
                <w:rFonts w:hint="eastAsia" w:ascii="仿宋" w:hAnsi="仿宋" w:eastAsia="仿宋" w:cs="仿宋"/>
                <w:szCs w:val="24"/>
              </w:rPr>
              <w:t>备注</w:t>
            </w:r>
          </w:p>
        </w:tc>
      </w:tr>
      <w:tr w14:paraId="1B0B175F">
        <w:trPr>
          <w:jc w:val="center"/>
        </w:trPr>
        <w:tc>
          <w:tcPr>
            <w:tcW w:w="710" w:type="pct"/>
            <w:vAlign w:val="center"/>
          </w:tcPr>
          <w:p w14:paraId="3A49AE60">
            <w:pPr>
              <w:pStyle w:val="2"/>
              <w:ind w:firstLine="0" w:firstLineChars="0"/>
              <w:jc w:val="center"/>
              <w:rPr>
                <w:rFonts w:ascii="仿宋" w:hAnsi="仿宋" w:eastAsia="仿宋" w:cs="仿宋"/>
                <w:szCs w:val="24"/>
              </w:rPr>
            </w:pPr>
            <w:r>
              <w:rPr>
                <w:rFonts w:hint="eastAsia" w:ascii="仿宋" w:hAnsi="仿宋" w:eastAsia="仿宋" w:cs="仿宋"/>
                <w:szCs w:val="24"/>
              </w:rPr>
              <w:t>1</w:t>
            </w:r>
          </w:p>
        </w:tc>
        <w:tc>
          <w:tcPr>
            <w:tcW w:w="1596" w:type="pct"/>
            <w:vAlign w:val="center"/>
          </w:tcPr>
          <w:p w14:paraId="37B375C9">
            <w:pPr>
              <w:pStyle w:val="2"/>
              <w:ind w:firstLine="0" w:firstLineChars="0"/>
              <w:jc w:val="left"/>
              <w:rPr>
                <w:rFonts w:ascii="仿宋" w:hAnsi="仿宋" w:eastAsia="仿宋" w:cs="仿宋"/>
                <w:szCs w:val="24"/>
              </w:rPr>
            </w:pPr>
            <w:r>
              <w:rPr>
                <w:rFonts w:hint="eastAsia" w:ascii="仿宋" w:hAnsi="仿宋" w:eastAsia="仿宋" w:cs="仿宋"/>
                <w:szCs w:val="24"/>
              </w:rPr>
              <w:t>业务流程设计确认未通过</w:t>
            </w:r>
          </w:p>
        </w:tc>
        <w:tc>
          <w:tcPr>
            <w:tcW w:w="910" w:type="pct"/>
            <w:vAlign w:val="center"/>
          </w:tcPr>
          <w:p w14:paraId="7ABA82D9">
            <w:pPr>
              <w:pStyle w:val="2"/>
              <w:ind w:firstLine="0" w:firstLineChars="0"/>
              <w:jc w:val="center"/>
              <w:rPr>
                <w:rFonts w:ascii="仿宋" w:hAnsi="仿宋" w:eastAsia="仿宋" w:cs="仿宋"/>
                <w:szCs w:val="24"/>
              </w:rPr>
            </w:pPr>
            <w:r>
              <w:rPr>
                <w:rFonts w:hint="eastAsia" w:ascii="仿宋" w:hAnsi="仿宋" w:eastAsia="仿宋" w:cs="仿宋"/>
                <w:szCs w:val="24"/>
              </w:rPr>
              <w:t>17</w:t>
            </w:r>
            <w:r>
              <w:rPr>
                <w:rFonts w:hint="eastAsia" w:ascii="仿宋" w:hAnsi="仿宋" w:eastAsia="仿宋" w:cs="仿宋"/>
                <w:szCs w:val="24"/>
                <w:lang w:val="en-US" w:eastAsia="zh-CN"/>
              </w:rPr>
              <w:t>8</w:t>
            </w:r>
            <w:r>
              <w:rPr>
                <w:rFonts w:hint="eastAsia" w:ascii="仿宋" w:hAnsi="仿宋" w:eastAsia="仿宋" w:cs="仿宋"/>
                <w:szCs w:val="24"/>
              </w:rPr>
              <w:t>,</w:t>
            </w:r>
            <w:r>
              <w:rPr>
                <w:rFonts w:hint="eastAsia" w:ascii="仿宋" w:hAnsi="仿宋" w:eastAsia="仿宋" w:cs="仿宋"/>
                <w:szCs w:val="24"/>
                <w:lang w:val="en-US" w:eastAsia="zh-CN"/>
              </w:rPr>
              <w:t>50</w:t>
            </w:r>
            <w:r>
              <w:rPr>
                <w:rFonts w:hint="eastAsia" w:ascii="仿宋" w:hAnsi="仿宋" w:eastAsia="仿宋" w:cs="仿宋"/>
                <w:szCs w:val="24"/>
              </w:rPr>
              <w:t>0.00</w:t>
            </w:r>
          </w:p>
        </w:tc>
        <w:tc>
          <w:tcPr>
            <w:tcW w:w="893" w:type="pct"/>
            <w:vAlign w:val="center"/>
          </w:tcPr>
          <w:p w14:paraId="603AAF13">
            <w:pPr>
              <w:pStyle w:val="2"/>
              <w:ind w:firstLine="0" w:firstLineChars="0"/>
              <w:jc w:val="center"/>
              <w:rPr>
                <w:rFonts w:ascii="仿宋" w:hAnsi="仿宋" w:eastAsia="仿宋" w:cs="仿宋"/>
                <w:szCs w:val="24"/>
              </w:rPr>
            </w:pPr>
            <w:r>
              <w:rPr>
                <w:rFonts w:hint="eastAsia" w:ascii="仿宋" w:hAnsi="仿宋" w:eastAsia="仿宋" w:cs="仿宋"/>
                <w:szCs w:val="24"/>
              </w:rPr>
              <w:t>17</w:t>
            </w:r>
            <w:r>
              <w:rPr>
                <w:rFonts w:hint="eastAsia" w:ascii="仿宋" w:hAnsi="仿宋" w:eastAsia="仿宋" w:cs="仿宋"/>
                <w:szCs w:val="24"/>
                <w:lang w:val="en-US" w:eastAsia="zh-CN"/>
              </w:rPr>
              <w:t>8</w:t>
            </w:r>
            <w:r>
              <w:rPr>
                <w:rFonts w:hint="eastAsia" w:ascii="仿宋" w:hAnsi="仿宋" w:eastAsia="仿宋" w:cs="仿宋"/>
                <w:szCs w:val="24"/>
              </w:rPr>
              <w:t>,</w:t>
            </w:r>
            <w:r>
              <w:rPr>
                <w:rFonts w:hint="eastAsia" w:ascii="仿宋" w:hAnsi="仿宋" w:eastAsia="仿宋" w:cs="仿宋"/>
                <w:szCs w:val="24"/>
                <w:lang w:val="en-US" w:eastAsia="zh-CN"/>
              </w:rPr>
              <w:t>50</w:t>
            </w:r>
            <w:r>
              <w:rPr>
                <w:rFonts w:hint="eastAsia" w:ascii="仿宋" w:hAnsi="仿宋" w:eastAsia="仿宋" w:cs="仿宋"/>
                <w:szCs w:val="24"/>
              </w:rPr>
              <w:t>0.00</w:t>
            </w:r>
          </w:p>
        </w:tc>
        <w:tc>
          <w:tcPr>
            <w:tcW w:w="891" w:type="pct"/>
            <w:vAlign w:val="center"/>
          </w:tcPr>
          <w:p w14:paraId="465B49A3">
            <w:pPr>
              <w:pStyle w:val="2"/>
              <w:ind w:firstLine="0" w:firstLineChars="0"/>
              <w:jc w:val="center"/>
              <w:rPr>
                <w:rFonts w:ascii="仿宋" w:hAnsi="仿宋" w:eastAsia="仿宋" w:cs="仿宋"/>
                <w:szCs w:val="24"/>
              </w:rPr>
            </w:pPr>
          </w:p>
        </w:tc>
      </w:tr>
      <w:tr w14:paraId="1E67BB2C">
        <w:trPr>
          <w:jc w:val="center"/>
        </w:trPr>
        <w:tc>
          <w:tcPr>
            <w:tcW w:w="710" w:type="pct"/>
            <w:vAlign w:val="center"/>
          </w:tcPr>
          <w:p w14:paraId="138C52DC">
            <w:pPr>
              <w:pStyle w:val="2"/>
              <w:ind w:firstLine="0" w:firstLineChars="0"/>
              <w:jc w:val="center"/>
              <w:rPr>
                <w:rFonts w:ascii="仿宋" w:hAnsi="仿宋" w:eastAsia="仿宋" w:cs="仿宋"/>
                <w:szCs w:val="24"/>
              </w:rPr>
            </w:pPr>
            <w:r>
              <w:rPr>
                <w:rFonts w:hint="eastAsia" w:ascii="仿宋" w:hAnsi="仿宋" w:eastAsia="仿宋" w:cs="仿宋"/>
                <w:szCs w:val="24"/>
              </w:rPr>
              <w:t>2</w:t>
            </w:r>
          </w:p>
        </w:tc>
        <w:tc>
          <w:tcPr>
            <w:tcW w:w="1596" w:type="pct"/>
            <w:vAlign w:val="center"/>
          </w:tcPr>
          <w:p w14:paraId="09537002">
            <w:pPr>
              <w:pStyle w:val="2"/>
              <w:ind w:firstLine="0" w:firstLineChars="0"/>
              <w:jc w:val="left"/>
              <w:rPr>
                <w:rFonts w:ascii="仿宋" w:hAnsi="仿宋" w:eastAsia="仿宋" w:cs="仿宋"/>
                <w:szCs w:val="24"/>
              </w:rPr>
            </w:pPr>
            <w:r>
              <w:rPr>
                <w:rFonts w:hint="eastAsia" w:ascii="仿宋" w:hAnsi="仿宋" w:eastAsia="仿宋" w:cs="仿宋"/>
                <w:szCs w:val="24"/>
              </w:rPr>
              <w:t>业务流程设计确认通过，原型确认未通过</w:t>
            </w:r>
          </w:p>
        </w:tc>
        <w:tc>
          <w:tcPr>
            <w:tcW w:w="910" w:type="pct"/>
            <w:vAlign w:val="center"/>
          </w:tcPr>
          <w:p w14:paraId="60FCA509">
            <w:pPr>
              <w:pStyle w:val="2"/>
              <w:ind w:firstLine="0" w:firstLineChars="0"/>
              <w:jc w:val="center"/>
              <w:rPr>
                <w:rFonts w:ascii="仿宋" w:hAnsi="仿宋" w:eastAsia="仿宋" w:cs="仿宋"/>
                <w:szCs w:val="24"/>
              </w:rPr>
            </w:pPr>
            <w:r>
              <w:rPr>
                <w:rFonts w:hint="eastAsia" w:ascii="仿宋" w:hAnsi="仿宋" w:eastAsia="仿宋" w:cs="仿宋"/>
                <w:szCs w:val="24"/>
              </w:rPr>
              <w:t>359</w:t>
            </w:r>
            <w:r>
              <w:rPr>
                <w:rFonts w:ascii="仿宋" w:hAnsi="仿宋" w:eastAsia="仿宋" w:cs="仿宋"/>
                <w:szCs w:val="24"/>
              </w:rPr>
              <w:t>,</w:t>
            </w:r>
            <w:r>
              <w:rPr>
                <w:rFonts w:hint="eastAsia" w:ascii="仿宋" w:hAnsi="仿宋" w:eastAsia="仿宋" w:cs="仿宋"/>
                <w:szCs w:val="24"/>
              </w:rPr>
              <w:t>500.00</w:t>
            </w:r>
          </w:p>
        </w:tc>
        <w:tc>
          <w:tcPr>
            <w:tcW w:w="893" w:type="pct"/>
            <w:vAlign w:val="center"/>
          </w:tcPr>
          <w:p w14:paraId="57543FD5">
            <w:pPr>
              <w:pStyle w:val="2"/>
              <w:ind w:firstLine="0" w:firstLineChars="0"/>
              <w:jc w:val="center"/>
              <w:rPr>
                <w:rFonts w:ascii="仿宋" w:hAnsi="仿宋" w:eastAsia="仿宋" w:cs="仿宋"/>
                <w:szCs w:val="24"/>
              </w:rPr>
            </w:pPr>
            <w:r>
              <w:rPr>
                <w:rFonts w:hint="eastAsia" w:ascii="仿宋" w:hAnsi="仿宋" w:eastAsia="仿宋" w:cs="仿宋"/>
                <w:szCs w:val="24"/>
              </w:rPr>
              <w:t>1</w:t>
            </w:r>
            <w:r>
              <w:rPr>
                <w:rFonts w:hint="eastAsia" w:ascii="仿宋" w:hAnsi="仿宋" w:eastAsia="仿宋" w:cs="仿宋"/>
                <w:szCs w:val="24"/>
                <w:lang w:val="en-US" w:eastAsia="zh-CN"/>
              </w:rPr>
              <w:t>81</w:t>
            </w:r>
            <w:r>
              <w:rPr>
                <w:rFonts w:hint="default" w:ascii="仿宋" w:hAnsi="仿宋" w:eastAsia="仿宋" w:cs="仿宋"/>
                <w:szCs w:val="24"/>
                <w:lang w:val="en-US" w:eastAsia="zh-CN"/>
              </w:rPr>
              <w:t>,00</w:t>
            </w:r>
            <w:r>
              <w:rPr>
                <w:rFonts w:hint="eastAsia" w:ascii="仿宋" w:hAnsi="仿宋" w:eastAsia="仿宋" w:cs="仿宋"/>
                <w:szCs w:val="24"/>
              </w:rPr>
              <w:t>0.00</w:t>
            </w:r>
          </w:p>
        </w:tc>
        <w:tc>
          <w:tcPr>
            <w:tcW w:w="891" w:type="pct"/>
            <w:vAlign w:val="center"/>
          </w:tcPr>
          <w:p w14:paraId="5621A7FE">
            <w:pPr>
              <w:pStyle w:val="2"/>
              <w:ind w:firstLine="0" w:firstLineChars="0"/>
              <w:jc w:val="center"/>
              <w:rPr>
                <w:rFonts w:ascii="仿宋" w:hAnsi="仿宋" w:eastAsia="仿宋" w:cs="仿宋"/>
                <w:szCs w:val="24"/>
              </w:rPr>
            </w:pPr>
          </w:p>
        </w:tc>
      </w:tr>
    </w:tbl>
    <w:p w14:paraId="7C4172AF">
      <w:pPr>
        <w:pStyle w:val="2"/>
        <w:ind w:firstLine="0" w:firstLineChars="0"/>
        <w:rPr>
          <w:rFonts w:ascii="仿宋" w:hAnsi="仿宋" w:eastAsia="仿宋" w:cs="仿宋"/>
          <w:sz w:val="28"/>
          <w:szCs w:val="28"/>
        </w:rPr>
      </w:pPr>
    </w:p>
    <w:p w14:paraId="05B13D60">
      <w:pPr>
        <w:pStyle w:val="2"/>
        <w:ind w:firstLine="0" w:firstLineChars="0"/>
        <w:rPr>
          <w:rFonts w:ascii="仿宋" w:hAnsi="仿宋" w:eastAsia="仿宋" w:cs="仿宋"/>
          <w:sz w:val="28"/>
          <w:szCs w:val="28"/>
        </w:rPr>
      </w:pPr>
      <w:r>
        <w:rPr>
          <w:rFonts w:hint="eastAsia" w:ascii="仿宋" w:hAnsi="仿宋" w:eastAsia="仿宋" w:cs="仿宋"/>
          <w:sz w:val="28"/>
          <w:szCs w:val="28"/>
        </w:rPr>
        <w:t>6、退款流程。由乙方协助甲方在华为云服务系统中发起退款流程，并需经华为云内部审批流程确认。一旦审批通过且退款金额全额到达乙方账户，乙方应在收到甲方退回的对应增值税发票后的15个工作日内，将甲方支付的剩余款项(具体金额以华为云官网数据为准)全额退还至甲方指定的银行账户。</w:t>
      </w:r>
      <w:bookmarkStart w:name="anc-c9-8516e3e3" w:id="840411"/>
      <w:bookmarkEnd w:id="840411"/>
      <w:bookmarkStart w:name="anc-c9-p1-4742002e" w:id="840417"/>
      <w:bookmarkEnd w:id="840417"/>
    </w:p>
    <w:p w14:paraId="5BE9482C">
      <w:pPr>
        <w:pStyle w:val="2"/>
        <w:ind w:firstLine="0" w:firstLineChars="0"/>
        <w:rPr>
          <w:rFonts w:ascii="仿宋" w:hAnsi="仿宋" w:eastAsia="仿宋" w:cs="仿宋"/>
          <w:sz w:val="28"/>
          <w:szCs w:val="28"/>
        </w:rPr>
      </w:pPr>
      <w:r>
        <w:rPr>
          <w:rFonts w:ascii="仿宋" w:hAnsi="仿宋" w:eastAsia="仿宋" w:cs="仿宋"/>
          <w:sz w:val="28"/>
          <w:szCs w:val="28"/>
        </w:rPr>
        <w:t>7</w:t>
      </w:r>
      <w:r>
        <w:rPr>
          <w:rFonts w:hint="eastAsia" w:ascii="仿宋" w:hAnsi="仿宋" w:eastAsia="仿宋" w:cs="仿宋"/>
          <w:sz w:val="28"/>
          <w:szCs w:val="28"/>
        </w:rPr>
        <w:t>、本协议生效后，甲方云账户充值记录将作为乙方履行充值义务的唯一凭证。本补充协议与主合同不一致的，以本补充协议为准；未变更部分继续有效。</w:t>
      </w:r>
      <w:bookmarkStart w:name="anc-c10-aadb22aa" w:id="840421"/>
      <w:bookmarkEnd w:id="840421"/>
      <w:bookmarkStart w:name="anc-c10-p1-396eb913" w:id="840425"/>
      <w:bookmarkEnd w:id="840425"/>
    </w:p>
    <w:p w14:paraId="768AD6E0">
      <w:pPr>
        <w:rPr>
          <w:rFonts w:ascii="仿宋" w:hAnsi="仿宋" w:eastAsia="仿宋" w:cs="仿宋"/>
          <w:sz w:val="28"/>
          <w:szCs w:val="28"/>
        </w:rPr>
      </w:pPr>
      <w:r>
        <w:rPr>
          <w:rFonts w:ascii="仿宋" w:hAnsi="仿宋" w:eastAsia="仿宋" w:cs="仿宋"/>
          <w:sz w:val="28"/>
          <w:szCs w:val="28"/>
        </w:rPr>
        <w:t>8</w:t>
      </w:r>
      <w:r>
        <w:rPr>
          <w:rFonts w:hint="eastAsia" w:ascii="仿宋" w:hAnsi="仿宋" w:eastAsia="仿宋" w:cs="仿宋"/>
          <w:sz w:val="28"/>
          <w:szCs w:val="28"/>
        </w:rPr>
        <w:t>、除上述新增内容外，其它条款按原合同（FSCY-20240920001）执行</w:t>
      </w:r>
      <w:bookmarkStart w:name="anc-c11-519b0066" w:id="840427"/>
      <w:bookmarkEnd w:id="840427"/>
      <w:bookmarkStart w:name="anc-c11-p1-1e9b737d" w:id="840429"/>
      <w:bookmarkEnd w:id="840429"/>
    </w:p>
    <w:p w14:paraId="47624E01">
      <w:pPr>
        <w:widowControl/>
        <w:jc w:val="left"/>
        <w:rPr>
          <w:rFonts w:ascii="仿宋" w:hAnsi="仿宋" w:eastAsia="仿宋" w:cs="仿宋"/>
          <w:sz w:val="28"/>
          <w:szCs w:val="28"/>
        </w:rPr>
      </w:pPr>
    </w:p>
    <w:p w14:paraId="2157554E">
      <w:pPr>
        <w:spacing w:line="360" w:lineRule="auto"/>
        <w:rPr>
          <w:rFonts w:ascii="仿宋" w:hAnsi="仿宋" w:eastAsia="仿宋" w:cs="仿宋"/>
          <w:b/>
          <w:sz w:val="28"/>
          <w:szCs w:val="28"/>
        </w:rPr>
      </w:pPr>
      <w:r>
        <w:rPr>
          <w:rFonts w:hint="eastAsia" w:ascii="仿宋" w:hAnsi="仿宋" w:eastAsia="仿宋" w:cs="仿宋"/>
          <w:b/>
          <w:sz w:val="28"/>
          <w:szCs w:val="28"/>
        </w:rPr>
        <w:t>第三条 其他</w:t>
      </w:r>
      <w:bookmarkStart w:name="anc-c12-37330f6b" w:id="840432"/>
      <w:bookmarkEnd w:id="840432"/>
      <w:bookmarkStart w:name="anc-c12-p1-1d2feb6e" w:id="840436"/>
      <w:bookmarkEnd w:id="840436"/>
      <w:commentRangeStart w:id="1"/>
      <w:commentRangeEnd w:id="1"/>
      <w:r>
        <w:commentReference w:id="1"/>
      </w:r>
      <w:commentRangeStart w:id="2"/>
      <w:commentRangeEnd w:id="2"/>
      <w:r>
        <w:commentReference w:id="2"/>
      </w:r>
    </w:p>
    <w:p w14:paraId="2E705C1E">
      <w:pPr>
        <w:spacing w:line="360" w:lineRule="auto"/>
        <w:rPr>
          <w:rFonts w:ascii="仿宋" w:hAnsi="仿宋" w:eastAsia="仿宋" w:cs="仿宋"/>
          <w:sz w:val="28"/>
          <w:szCs w:val="28"/>
        </w:rPr>
      </w:pPr>
      <w:r>
        <w:rPr>
          <w:rFonts w:hint="eastAsia" w:ascii="仿宋" w:hAnsi="仿宋" w:eastAsia="仿宋" w:cs="仿宋"/>
          <w:sz w:val="28"/>
          <w:szCs w:val="28"/>
        </w:rPr>
        <w:t>本补充协议正本一式【贰】份，协议双方各执【壹】份，具有同等法律效力，本协议的原件与复印件均具有同等法律效力。</w:t>
      </w:r>
      <w:bookmarkStart w:name="anc-c12-p2-95a3156b" w:id="840439"/>
      <w:bookmarkEnd w:id="840439"/>
    </w:p>
    <w:p w14:paraId="278AA904">
      <w:pPr>
        <w:pStyle w:val="2"/>
        <w:ind w:firstLine="480"/>
      </w:pPr>
    </w:p>
    <w:p w14:paraId="0D82C830">
      <w:pPr>
        <w:pStyle w:val="2"/>
        <w:ind w:firstLine="480"/>
      </w:pPr>
    </w:p>
    <w:p w14:paraId="6D4682B8">
      <w:pPr>
        <w:pStyle w:val="3"/>
        <w:shd w:val="clear" w:color="auto" w:fill="FFFFFF"/>
        <w:spacing w:before="0" w:beforeAutospacing="0" w:after="48" w:afterAutospacing="0" w:line="264" w:lineRule="atLeast"/>
        <w:rPr>
          <w:rFonts w:ascii="Arial" w:hAnsi="Arial" w:cs="Arial"/>
          <w:b w:val="0"/>
          <w:bCs w:val="0"/>
          <w:color w:val="333333"/>
          <w:sz w:val="22"/>
          <w:szCs w:val="22"/>
        </w:rPr>
      </w:pPr>
      <w:r>
        <w:rPr>
          <w:rFonts w:hint="eastAsia" w:ascii="仿宋" w:hAnsi="仿宋" w:eastAsia="仿宋" w:cs="仿宋"/>
          <w:b w:val="0"/>
          <w:bCs w:val="0"/>
          <w:sz w:val="28"/>
          <w:szCs w:val="28"/>
        </w:rPr>
        <w:t>甲方（盖章）：</w:t>
      </w:r>
      <w:r>
        <w:rPr>
          <w:rFonts w:ascii="仿宋" w:hAnsi="仿宋" w:eastAsia="仿宋" w:cs="仿宋"/>
          <w:sz w:val="28"/>
          <w:szCs w:val="28"/>
        </w:rPr>
        <w:t xml:space="preserve"> </w:t>
      </w:r>
      <w:r>
        <w:rPr>
          <w:rFonts w:hint="eastAsia" w:ascii="仿宋" w:hAnsi="仿宋" w:eastAsia="仿宋" w:cs="仿宋"/>
          <w:b w:val="0"/>
          <w:bCs w:val="0"/>
          <w:kern w:val="2"/>
          <w:sz w:val="28"/>
          <w:szCs w:val="28"/>
        </w:rPr>
        <w:t>佛山市创意新材料科技有限公司</w:t>
      </w:r>
      <w:bookmarkStart w:name="anc-c12-p3-9c18d200" w:id="840442"/>
      <w:bookmarkEnd w:id="840442"/>
    </w:p>
    <w:p w14:paraId="4511D045">
      <w:pPr>
        <w:rPr>
          <w:rFonts w:ascii="仿宋" w:hAnsi="仿宋" w:eastAsia="仿宋" w:cs="仿宋"/>
          <w:sz w:val="28"/>
          <w:szCs w:val="28"/>
        </w:rPr>
      </w:pPr>
      <w:r>
        <w:rPr>
          <w:rFonts w:hint="eastAsia" w:ascii="仿宋" w:hAnsi="仿宋" w:eastAsia="仿宋" w:cs="仿宋"/>
          <w:sz w:val="28"/>
          <w:szCs w:val="28"/>
        </w:rPr>
        <w:t>签署日期：</w:t>
      </w:r>
      <w:r>
        <w:rPr>
          <w:rFonts w:ascii="仿宋" w:hAnsi="仿宋" w:eastAsia="仿宋" w:cs="仿宋"/>
          <w:sz w:val="28"/>
          <w:szCs w:val="28"/>
        </w:rPr>
        <w:t>202</w:t>
      </w:r>
      <w:r>
        <w:rPr>
          <w:rFonts w:hint="eastAsia" w:ascii="仿宋" w:hAnsi="仿宋" w:eastAsia="仿宋" w:cs="仿宋"/>
          <w:sz w:val="28"/>
          <w:szCs w:val="28"/>
        </w:rPr>
        <w:t>5年 月 日</w:t>
      </w:r>
      <w:bookmarkStart w:name="anc-c12-p4-c5a6b2d7" w:id="840446"/>
      <w:bookmarkEnd w:id="840446"/>
    </w:p>
    <w:p w14:paraId="576FB19E">
      <w:pPr>
        <w:spacing w:line="360" w:lineRule="auto"/>
        <w:rPr>
          <w:rFonts w:ascii="仿宋" w:hAnsi="仿宋" w:eastAsia="仿宋" w:cs="仿宋"/>
          <w:sz w:val="28"/>
          <w:szCs w:val="28"/>
        </w:rPr>
      </w:pPr>
    </w:p>
    <w:p w14:paraId="72FDF055">
      <w:pPr>
        <w:spacing w:line="360" w:lineRule="auto"/>
        <w:rPr>
          <w:rFonts w:ascii="仿宋" w:hAnsi="仿宋" w:eastAsia="仿宋" w:cs="仿宋"/>
          <w:sz w:val="28"/>
          <w:szCs w:val="28"/>
        </w:rPr>
      </w:pPr>
    </w:p>
    <w:p w14:paraId="12F9E956">
      <w:pPr>
        <w:pStyle w:val="2"/>
        <w:ind w:firstLine="480"/>
      </w:pPr>
    </w:p>
    <w:p w14:paraId="187956D8">
      <w:pPr>
        <w:spacing w:line="360" w:lineRule="auto"/>
        <w:rPr>
          <w:rFonts w:ascii="仿宋" w:hAnsi="仿宋" w:eastAsia="仿宋" w:cs="仿宋"/>
          <w:sz w:val="28"/>
          <w:szCs w:val="28"/>
        </w:rPr>
      </w:pPr>
    </w:p>
    <w:p w14:paraId="020564B4">
      <w:pPr>
        <w:rPr>
          <w:rFonts w:ascii="仿宋" w:hAnsi="仿宋" w:eastAsia="仿宋" w:cs="仿宋"/>
          <w:sz w:val="28"/>
          <w:szCs w:val="28"/>
        </w:rPr>
      </w:pPr>
      <w:r>
        <w:rPr>
          <w:rFonts w:hint="eastAsia" w:ascii="仿宋" w:hAnsi="仿宋" w:eastAsia="仿宋" w:cs="仿宋"/>
          <w:sz w:val="28"/>
          <w:szCs w:val="28"/>
        </w:rPr>
        <w:t>乙方（盖章）：</w:t>
      </w:r>
      <w:r>
        <w:rPr>
          <w:rFonts w:hint="eastAsia" w:ascii="仿宋" w:hAnsi="仿宋" w:eastAsia="仿宋" w:cs="仿宋"/>
          <w:kern w:val="0"/>
          <w:sz w:val="28"/>
          <w:szCs w:val="28"/>
        </w:rPr>
        <w:t>中软国际信息技术（佛山）有限公司</w:t>
      </w:r>
      <w:r>
        <w:rPr>
          <w:rFonts w:hint="eastAsia" w:ascii="仿宋" w:hAnsi="仿宋" w:eastAsia="仿宋" w:cs="仿宋"/>
          <w:sz w:val="28"/>
          <w:szCs w:val="28"/>
        </w:rPr>
        <w:t xml:space="preserve">  </w:t>
      </w:r>
      <w:bookmarkStart w:name="anc-c12-p5-1eaf1640" w:id="840449"/>
      <w:bookmarkEnd w:id="840449"/>
    </w:p>
    <w:p w14:paraId="23F504C4">
      <w:pPr>
        <w:rPr>
          <w:rFonts w:ascii="仿宋" w:hAnsi="仿宋" w:eastAsia="仿宋" w:cs="仿宋"/>
          <w:sz w:val="28"/>
          <w:szCs w:val="28"/>
        </w:rPr>
      </w:pPr>
      <w:r>
        <w:rPr>
          <w:rFonts w:hint="eastAsia" w:ascii="仿宋" w:hAnsi="仿宋" w:eastAsia="仿宋" w:cs="仿宋"/>
          <w:sz w:val="28"/>
          <w:szCs w:val="28"/>
        </w:rPr>
        <w:t>签署日期：</w:t>
      </w:r>
      <w:r>
        <w:rPr>
          <w:rFonts w:ascii="仿宋" w:hAnsi="仿宋" w:eastAsia="仿宋" w:cs="仿宋"/>
          <w:sz w:val="28"/>
          <w:szCs w:val="28"/>
        </w:rPr>
        <w:t>202</w:t>
      </w:r>
      <w:r>
        <w:rPr>
          <w:rFonts w:hint="eastAsia" w:ascii="仿宋" w:hAnsi="仿宋" w:eastAsia="仿宋" w:cs="仿宋"/>
          <w:sz w:val="28"/>
          <w:szCs w:val="28"/>
        </w:rPr>
        <w:t xml:space="preserve">5年 月  日 </w:t>
      </w:r>
      <w:bookmarkStart w:name="anc-c12-p6-dbb529b4" w:id="840454"/>
      <w:bookmarkEnd w:id="840454"/>
    </w:p>
    <w:p w14:paraId="09C48F9A">
      <w:pPr>
        <w:pStyle w:val="2"/>
        <w:ind w:firstLine="480"/>
      </w:pPr>
    </w:p>
    <w:p w14:paraId="54C5BA7F">
      <w:pPr>
        <w:pStyle w:val="2"/>
        <w:ind w:firstLine="480"/>
      </w:pPr>
    </w:p>
    <w:p w14:paraId="409072C7">
      <w:pPr>
        <w:pStyle w:val="2"/>
        <w:ind w:firstLine="480"/>
      </w:pPr>
    </w:p>
    <w:p w14:paraId="3A558650">
      <w:pPr>
        <w:pStyle w:val="2"/>
        <w:ind w:firstLine="480"/>
      </w:pPr>
    </w:p>
    <w:p w14:paraId="0DA5E840">
      <w:pPr>
        <w:pStyle w:val="2"/>
        <w:ind w:firstLine="480"/>
      </w:pPr>
    </w:p>
    <w:p w14:paraId="0BF9C48F">
      <w:pPr>
        <w:pStyle w:val="2"/>
        <w:ind w:firstLine="480"/>
      </w:pPr>
    </w:p>
    <w:p w14:paraId="0E9FDAA3">
      <w:pPr>
        <w:pStyle w:val="2"/>
        <w:ind w:firstLine="480"/>
      </w:pPr>
    </w:p>
    <w:p w14:paraId="213C91F0">
      <w:pPr>
        <w:pStyle w:val="2"/>
        <w:ind w:firstLine="480"/>
      </w:pPr>
    </w:p>
    <w:p w14:paraId="0B127B98">
      <w:pPr>
        <w:pStyle w:val="2"/>
        <w:ind w:firstLine="480"/>
      </w:pPr>
    </w:p>
    <w:p w14:paraId="00901191">
      <w:pPr>
        <w:pStyle w:val="2"/>
        <w:ind w:firstLine="480"/>
      </w:pPr>
    </w:p>
    <w:p w14:paraId="31FE8FEA">
      <w:pPr>
        <w:tabs>
          <w:tab w:val="left" w:pos="5975"/>
        </w:tabs>
        <w:spacing w:after="156" w:afterLines="50" w:line="360" w:lineRule="exact"/>
        <w:ind w:left="88" w:leftChars="-295" w:hanging="707" w:hangingChars="220"/>
        <w:jc w:val="center"/>
        <w:rPr>
          <w:rFonts w:ascii="仿宋" w:hAnsi="仿宋" w:cs="仿宋"/>
          <w:b/>
          <w:snapToGrid w:val="0"/>
          <w:sz w:val="32"/>
          <w:szCs w:val="32"/>
        </w:rPr>
      </w:pPr>
      <w:r>
        <w:rPr>
          <w:rStyle w:val="28"/>
          <w:rFonts w:hint="eastAsia" w:ascii="仿宋" w:hAnsi="仿宋" w:eastAsia="仿宋" w:cs="仿宋"/>
          <w:b/>
          <w:sz w:val="32"/>
          <w:szCs w:val="32"/>
        </w:rPr>
        <w:t>附件</w:t>
      </w:r>
      <w:r>
        <w:rPr>
          <w:rStyle w:val="28"/>
          <w:rFonts w:ascii="仿宋" w:hAnsi="仿宋" w:eastAsia="仿宋" w:cs="仿宋"/>
          <w:b/>
          <w:sz w:val="32"/>
          <w:szCs w:val="32"/>
        </w:rPr>
        <w:t xml:space="preserve">1: </w:t>
      </w:r>
      <w:r>
        <w:rPr>
          <w:rFonts w:hint="eastAsia" w:ascii="仿宋" w:hAnsi="仿宋" w:cs="仿宋"/>
          <w:b/>
          <w:snapToGrid w:val="0"/>
          <w:sz w:val="32"/>
          <w:szCs w:val="32"/>
        </w:rPr>
        <w:t>华为云商品及与服务清单</w:t>
      </w:r>
      <w:bookmarkStart w:name="anc-c12-p7-2726a449" w:id="840457"/>
      <w:bookmarkEnd w:id="840457"/>
    </w:p>
    <w:tbl>
      <w:tblPr>
        <w:tblStyle w:val="10"/>
        <w:tblpPr w:leftFromText="180" w:rightFromText="180" w:vertAnchor="text" w:horzAnchor="page" w:tblpX="1786" w:tblpY="618"/>
        <w:tblOverlap w:val="never"/>
        <w:tblW w:w="7820" w:type="dxa"/>
        <w:tblInd w:w="0" w:type="dxa"/>
        <w:tblLayout w:type="autofit"/>
        <w:tblCellMar>
          <w:top w:w="0" w:type="dxa"/>
          <w:left w:w="108" w:type="dxa"/>
          <w:bottom w:w="0" w:type="dxa"/>
          <w:right w:w="108" w:type="dxa"/>
        </w:tblCellMar>
      </w:tblPr>
      <w:tblGrid>
        <w:gridCol w:w="740"/>
        <w:gridCol w:w="1653"/>
        <w:gridCol w:w="1247"/>
        <w:gridCol w:w="1160"/>
        <w:gridCol w:w="560"/>
        <w:gridCol w:w="1176"/>
        <w:gridCol w:w="1284"/>
      </w:tblGrid>
      <w:tr w14:paraId="1A04C0B0">
        <w:trPr>
          <w:trHeight w:val="360" w:hRule="atLeast"/>
        </w:trPr>
        <w:tc>
          <w:tcPr>
            <w:tcW w:w="7820" w:type="dxa"/>
            <w:gridSpan w:val="7"/>
            <w:tcBorders>
              <w:top w:val="single" w:color="auto" w:sz="4" w:space="0"/>
              <w:left w:val="nil"/>
              <w:bottom w:val="single" w:color="auto" w:sz="4" w:space="0"/>
              <w:right w:val="nil"/>
            </w:tcBorders>
            <w:shd w:val="clear" w:color="000000" w:fill="244062"/>
            <w:noWrap/>
            <w:vAlign w:val="center"/>
          </w:tcPr>
          <w:p w14:paraId="1381A647">
            <w:pPr>
              <w:widowControl/>
              <w:jc w:val="left"/>
              <w:rPr>
                <w:rFonts w:ascii="微软雅黑 Light" w:hAnsi="微软雅黑 Light" w:eastAsia="微软雅黑 Light" w:cs="宋体"/>
                <w:b/>
                <w:bCs/>
                <w:color w:val="FFFFFF"/>
                <w:kern w:val="0"/>
                <w:sz w:val="28"/>
                <w:szCs w:val="28"/>
              </w:rPr>
            </w:pPr>
            <w:r>
              <w:rPr>
                <w:rFonts w:hint="eastAsia" w:ascii="微软雅黑 Light" w:hAnsi="微软雅黑 Light" w:eastAsia="微软雅黑 Light" w:cs="宋体"/>
                <w:b/>
                <w:bCs/>
                <w:color w:val="FFFFFF"/>
                <w:kern w:val="0"/>
                <w:sz w:val="28"/>
                <w:szCs w:val="28"/>
              </w:rPr>
              <w:t>创新新材料 S-ERP项目产品、样品、配方管理功能明细表</w:t>
            </w:r>
          </w:p>
        </w:tc>
      </w:tr>
      <w:tr w14:paraId="5D8F374D">
        <w:trPr>
          <w:trHeight w:val="360" w:hRule="atLeast"/>
        </w:trPr>
        <w:tc>
          <w:tcPr>
            <w:tcW w:w="740" w:type="dxa"/>
            <w:tcBorders>
              <w:top w:val="nil"/>
              <w:left w:val="nil"/>
              <w:bottom w:val="nil"/>
              <w:right w:val="nil"/>
            </w:tcBorders>
            <w:shd w:val="clear" w:color="000000" w:fill="FFFFFF"/>
            <w:vAlign w:val="center"/>
          </w:tcPr>
          <w:p w14:paraId="56D8687C">
            <w:pPr>
              <w:widowControl/>
              <w:jc w:val="center"/>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1653" w:type="dxa"/>
            <w:tcBorders>
              <w:top w:val="nil"/>
              <w:left w:val="nil"/>
              <w:bottom w:val="nil"/>
              <w:right w:val="nil"/>
            </w:tcBorders>
            <w:shd w:val="clear" w:color="000000" w:fill="FFFFFF"/>
            <w:vAlign w:val="center"/>
          </w:tcPr>
          <w:p w14:paraId="4176E3AA">
            <w:pPr>
              <w:widowControl/>
              <w:jc w:val="center"/>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1247" w:type="dxa"/>
            <w:tcBorders>
              <w:top w:val="nil"/>
              <w:left w:val="nil"/>
              <w:bottom w:val="nil"/>
              <w:right w:val="nil"/>
            </w:tcBorders>
            <w:shd w:val="clear" w:color="000000" w:fill="FFFFFF"/>
            <w:vAlign w:val="center"/>
          </w:tcPr>
          <w:p w14:paraId="41788687">
            <w:pPr>
              <w:widowControl/>
              <w:jc w:val="center"/>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1160" w:type="dxa"/>
            <w:tcBorders>
              <w:top w:val="nil"/>
              <w:left w:val="nil"/>
              <w:bottom w:val="nil"/>
              <w:right w:val="nil"/>
            </w:tcBorders>
            <w:shd w:val="clear" w:color="000000" w:fill="FFFFFF"/>
            <w:noWrap/>
            <w:vAlign w:val="center"/>
          </w:tcPr>
          <w:p w14:paraId="15CCCC63">
            <w:pPr>
              <w:widowControl/>
              <w:jc w:val="center"/>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560" w:type="dxa"/>
            <w:tcBorders>
              <w:top w:val="nil"/>
              <w:left w:val="nil"/>
              <w:bottom w:val="nil"/>
              <w:right w:val="nil"/>
            </w:tcBorders>
            <w:shd w:val="clear" w:color="000000" w:fill="FFFFFF"/>
            <w:noWrap/>
            <w:vAlign w:val="center"/>
          </w:tcPr>
          <w:p w14:paraId="042248EE">
            <w:pPr>
              <w:widowControl/>
              <w:jc w:val="center"/>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1176" w:type="dxa"/>
            <w:tcBorders>
              <w:top w:val="nil"/>
              <w:left w:val="nil"/>
              <w:bottom w:val="nil"/>
              <w:right w:val="nil"/>
            </w:tcBorders>
            <w:shd w:val="clear" w:color="000000" w:fill="FFFFFF"/>
            <w:vAlign w:val="center"/>
          </w:tcPr>
          <w:p w14:paraId="44027547">
            <w:pPr>
              <w:widowControl/>
              <w:jc w:val="center"/>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1284" w:type="dxa"/>
            <w:tcBorders>
              <w:top w:val="nil"/>
              <w:left w:val="nil"/>
              <w:bottom w:val="nil"/>
              <w:right w:val="nil"/>
            </w:tcBorders>
            <w:shd w:val="clear" w:color="000000" w:fill="FFFFFF"/>
            <w:vAlign w:val="center"/>
          </w:tcPr>
          <w:p w14:paraId="0B51BBD0">
            <w:pPr>
              <w:widowControl/>
              <w:jc w:val="center"/>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r>
      <w:tr w14:paraId="731601E6">
        <w:trPr>
          <w:trHeight w:val="660" w:hRule="atLeast"/>
        </w:trPr>
        <w:tc>
          <w:tcPr>
            <w:tcW w:w="740" w:type="dxa"/>
            <w:tcBorders>
              <w:top w:val="single" w:color="auto" w:sz="4" w:space="0"/>
              <w:left w:val="single" w:color="auto" w:sz="4" w:space="0"/>
              <w:bottom w:val="single" w:color="auto" w:sz="4" w:space="0"/>
              <w:right w:val="single" w:color="auto" w:sz="4" w:space="0"/>
            </w:tcBorders>
            <w:shd w:val="clear" w:color="000000" w:fill="2F5597"/>
            <w:vAlign w:val="center"/>
          </w:tcPr>
          <w:p w14:paraId="2A651E6B">
            <w:pPr>
              <w:widowControl/>
              <w:jc w:val="center"/>
              <w:rPr>
                <w:rFonts w:ascii="微软雅黑" w:hAnsi="微软雅黑" w:eastAsia="微软雅黑" w:cs="宋体"/>
                <w:b/>
                <w:bCs/>
                <w:color w:val="FFFFFF"/>
                <w:kern w:val="0"/>
                <w:sz w:val="24"/>
              </w:rPr>
            </w:pPr>
            <w:r>
              <w:rPr>
                <w:rFonts w:hint="eastAsia" w:ascii="微软雅黑" w:hAnsi="微软雅黑" w:eastAsia="微软雅黑" w:cs="宋体"/>
                <w:b/>
                <w:bCs/>
                <w:color w:val="FFFFFF"/>
                <w:kern w:val="0"/>
                <w:sz w:val="24"/>
              </w:rPr>
              <w:t>产品分类</w:t>
            </w:r>
          </w:p>
        </w:tc>
        <w:tc>
          <w:tcPr>
            <w:tcW w:w="1653" w:type="dxa"/>
            <w:tcBorders>
              <w:top w:val="single" w:color="auto" w:sz="4" w:space="0"/>
              <w:left w:val="nil"/>
              <w:bottom w:val="single" w:color="auto" w:sz="4" w:space="0"/>
              <w:right w:val="single" w:color="auto" w:sz="4" w:space="0"/>
            </w:tcBorders>
            <w:shd w:val="clear" w:color="000000" w:fill="2F5597"/>
            <w:vAlign w:val="center"/>
          </w:tcPr>
          <w:p w14:paraId="6C32700A">
            <w:pPr>
              <w:widowControl/>
              <w:jc w:val="center"/>
              <w:rPr>
                <w:rFonts w:ascii="微软雅黑" w:hAnsi="微软雅黑" w:eastAsia="微软雅黑" w:cs="宋体"/>
                <w:b/>
                <w:bCs/>
                <w:color w:val="FFFFFF"/>
                <w:kern w:val="0"/>
                <w:sz w:val="24"/>
              </w:rPr>
            </w:pPr>
            <w:r>
              <w:rPr>
                <w:rFonts w:hint="eastAsia" w:ascii="微软雅黑" w:hAnsi="微软雅黑" w:eastAsia="微软雅黑" w:cs="宋体"/>
                <w:b/>
                <w:bCs/>
                <w:color w:val="FFFFFF"/>
                <w:kern w:val="0"/>
                <w:sz w:val="24"/>
              </w:rPr>
              <w:t>组件名称</w:t>
            </w:r>
          </w:p>
        </w:tc>
        <w:tc>
          <w:tcPr>
            <w:tcW w:w="1247" w:type="dxa"/>
            <w:tcBorders>
              <w:top w:val="single" w:color="auto" w:sz="4" w:space="0"/>
              <w:left w:val="nil"/>
              <w:bottom w:val="single" w:color="auto" w:sz="4" w:space="0"/>
              <w:right w:val="single" w:color="auto" w:sz="4" w:space="0"/>
            </w:tcBorders>
            <w:shd w:val="clear" w:color="000000" w:fill="2F5597"/>
            <w:vAlign w:val="center"/>
          </w:tcPr>
          <w:p w14:paraId="413C5889">
            <w:pPr>
              <w:widowControl/>
              <w:jc w:val="center"/>
              <w:rPr>
                <w:rFonts w:ascii="微软雅黑" w:hAnsi="微软雅黑" w:eastAsia="微软雅黑" w:cs="宋体"/>
                <w:b/>
                <w:bCs/>
                <w:color w:val="FFFFFF"/>
                <w:kern w:val="0"/>
                <w:sz w:val="24"/>
              </w:rPr>
            </w:pPr>
            <w:r>
              <w:rPr>
                <w:rFonts w:hint="eastAsia" w:ascii="微软雅黑" w:hAnsi="微软雅黑" w:eastAsia="微软雅黑" w:cs="宋体"/>
                <w:b/>
                <w:bCs/>
                <w:color w:val="FFFFFF"/>
                <w:kern w:val="0"/>
                <w:sz w:val="24"/>
              </w:rPr>
              <w:t>商品规格</w:t>
            </w:r>
          </w:p>
        </w:tc>
        <w:tc>
          <w:tcPr>
            <w:tcW w:w="1160" w:type="dxa"/>
            <w:tcBorders>
              <w:top w:val="single" w:color="auto" w:sz="4" w:space="0"/>
              <w:left w:val="nil"/>
              <w:bottom w:val="single" w:color="auto" w:sz="4" w:space="0"/>
              <w:right w:val="single" w:color="auto" w:sz="4" w:space="0"/>
            </w:tcBorders>
            <w:shd w:val="clear" w:color="000000" w:fill="2F5597"/>
            <w:vAlign w:val="center"/>
          </w:tcPr>
          <w:p w14:paraId="19420807">
            <w:pPr>
              <w:widowControl/>
              <w:jc w:val="center"/>
              <w:rPr>
                <w:rFonts w:ascii="微软雅黑" w:hAnsi="微软雅黑" w:eastAsia="微软雅黑" w:cs="宋体"/>
                <w:b/>
                <w:bCs/>
                <w:color w:val="FFFFFF"/>
                <w:kern w:val="0"/>
                <w:sz w:val="24"/>
              </w:rPr>
            </w:pPr>
            <w:r>
              <w:rPr>
                <w:rFonts w:hint="eastAsia" w:ascii="微软雅黑" w:hAnsi="微软雅黑" w:eastAsia="微软雅黑" w:cs="宋体"/>
                <w:b/>
                <w:bCs/>
                <w:color w:val="FFFFFF"/>
                <w:kern w:val="0"/>
                <w:sz w:val="24"/>
              </w:rPr>
              <w:t>计费方式</w:t>
            </w:r>
          </w:p>
        </w:tc>
        <w:tc>
          <w:tcPr>
            <w:tcW w:w="560" w:type="dxa"/>
            <w:tcBorders>
              <w:top w:val="single" w:color="auto" w:sz="4" w:space="0"/>
              <w:left w:val="nil"/>
              <w:bottom w:val="single" w:color="auto" w:sz="4" w:space="0"/>
              <w:right w:val="single" w:color="auto" w:sz="4" w:space="0"/>
            </w:tcBorders>
            <w:shd w:val="clear" w:color="000000" w:fill="2F5597"/>
            <w:vAlign w:val="center"/>
          </w:tcPr>
          <w:p w14:paraId="4355588C">
            <w:pPr>
              <w:widowControl/>
              <w:jc w:val="center"/>
              <w:rPr>
                <w:rFonts w:ascii="微软雅黑" w:hAnsi="微软雅黑" w:eastAsia="微软雅黑" w:cs="宋体"/>
                <w:b/>
                <w:bCs/>
                <w:color w:val="FFFFFF"/>
                <w:kern w:val="0"/>
                <w:sz w:val="24"/>
              </w:rPr>
            </w:pPr>
            <w:r>
              <w:rPr>
                <w:rFonts w:hint="eastAsia" w:ascii="微软雅黑" w:hAnsi="微软雅黑" w:eastAsia="微软雅黑" w:cs="宋体"/>
                <w:b/>
                <w:bCs/>
                <w:color w:val="FFFFFF"/>
                <w:kern w:val="0"/>
                <w:sz w:val="24"/>
              </w:rPr>
              <w:t>数量</w:t>
            </w:r>
          </w:p>
        </w:tc>
        <w:tc>
          <w:tcPr>
            <w:tcW w:w="1176" w:type="dxa"/>
            <w:tcBorders>
              <w:top w:val="single" w:color="auto" w:sz="4" w:space="0"/>
              <w:left w:val="nil"/>
              <w:bottom w:val="single" w:color="auto" w:sz="4" w:space="0"/>
              <w:right w:val="single" w:color="auto" w:sz="4" w:space="0"/>
            </w:tcBorders>
            <w:shd w:val="clear" w:color="000000" w:fill="2F5597"/>
            <w:vAlign w:val="center"/>
          </w:tcPr>
          <w:p w14:paraId="634688B6">
            <w:pPr>
              <w:widowControl/>
              <w:jc w:val="center"/>
              <w:rPr>
                <w:rFonts w:ascii="微软雅黑" w:hAnsi="微软雅黑" w:eastAsia="微软雅黑" w:cs="宋体"/>
                <w:b/>
                <w:bCs/>
                <w:color w:val="FFFFFF"/>
                <w:kern w:val="0"/>
                <w:sz w:val="24"/>
              </w:rPr>
            </w:pPr>
            <w:r>
              <w:rPr>
                <w:rFonts w:hint="eastAsia" w:ascii="微软雅黑" w:hAnsi="微软雅黑" w:eastAsia="微软雅黑" w:cs="宋体"/>
                <w:b/>
                <w:bCs/>
                <w:color w:val="FFFFFF"/>
                <w:kern w:val="0"/>
                <w:sz w:val="24"/>
              </w:rPr>
              <w:t>单价</w:t>
            </w:r>
            <w:r>
              <w:rPr>
                <w:rFonts w:hint="eastAsia" w:ascii="微软雅黑" w:hAnsi="微软雅黑" w:eastAsia="微软雅黑" w:cs="宋体"/>
                <w:b/>
                <w:bCs/>
                <w:color w:val="FFFFFF"/>
                <w:kern w:val="0"/>
                <w:sz w:val="24"/>
              </w:rPr>
              <w:br w:type="textWrapping"/>
            </w:r>
            <w:r>
              <w:rPr>
                <w:rFonts w:hint="eastAsia" w:ascii="微软雅黑" w:hAnsi="微软雅黑" w:eastAsia="微软雅黑" w:cs="宋体"/>
                <w:b/>
                <w:bCs/>
                <w:color w:val="FFFFFF"/>
                <w:kern w:val="0"/>
                <w:sz w:val="24"/>
              </w:rPr>
              <w:t>（元）</w:t>
            </w:r>
          </w:p>
        </w:tc>
        <w:tc>
          <w:tcPr>
            <w:tcW w:w="1284" w:type="dxa"/>
            <w:tcBorders>
              <w:top w:val="single" w:color="auto" w:sz="4" w:space="0"/>
              <w:left w:val="nil"/>
              <w:bottom w:val="single" w:color="auto" w:sz="4" w:space="0"/>
              <w:right w:val="single" w:color="auto" w:sz="4" w:space="0"/>
            </w:tcBorders>
            <w:shd w:val="clear" w:color="000000" w:fill="2F5597"/>
            <w:vAlign w:val="center"/>
          </w:tcPr>
          <w:p w14:paraId="2FBBA264">
            <w:pPr>
              <w:widowControl/>
              <w:jc w:val="center"/>
              <w:rPr>
                <w:rFonts w:ascii="微软雅黑" w:hAnsi="微软雅黑" w:eastAsia="微软雅黑" w:cs="宋体"/>
                <w:b/>
                <w:bCs/>
                <w:color w:val="FFFFFF"/>
                <w:kern w:val="0"/>
                <w:sz w:val="24"/>
              </w:rPr>
            </w:pPr>
            <w:r>
              <w:rPr>
                <w:rFonts w:hint="eastAsia" w:ascii="微软雅黑" w:hAnsi="微软雅黑" w:eastAsia="微软雅黑" w:cs="宋体"/>
                <w:b/>
                <w:bCs/>
                <w:color w:val="FFFFFF"/>
                <w:kern w:val="0"/>
                <w:sz w:val="24"/>
              </w:rPr>
              <w:t>小计</w:t>
            </w:r>
            <w:r>
              <w:rPr>
                <w:rFonts w:hint="eastAsia" w:ascii="微软雅黑" w:hAnsi="微软雅黑" w:eastAsia="微软雅黑" w:cs="宋体"/>
                <w:b/>
                <w:bCs/>
                <w:color w:val="FFFFFF"/>
                <w:kern w:val="0"/>
                <w:sz w:val="24"/>
              </w:rPr>
              <w:br w:type="textWrapping"/>
            </w:r>
            <w:r>
              <w:rPr>
                <w:rFonts w:hint="eastAsia" w:ascii="微软雅黑" w:hAnsi="微软雅黑" w:eastAsia="微软雅黑" w:cs="宋体"/>
                <w:b/>
                <w:bCs/>
                <w:color w:val="FFFFFF"/>
                <w:kern w:val="0"/>
                <w:sz w:val="24"/>
              </w:rPr>
              <w:t>（元）</w:t>
            </w:r>
          </w:p>
        </w:tc>
      </w:tr>
      <w:tr w14:paraId="1E4F7994">
        <w:trPr>
          <w:trHeight w:val="939" w:hRule="atLeast"/>
        </w:trPr>
        <w:tc>
          <w:tcPr>
            <w:tcW w:w="740" w:type="dxa"/>
            <w:vMerge w:val="restart"/>
            <w:tcBorders>
              <w:top w:val="nil"/>
              <w:left w:val="single" w:color="auto" w:sz="4" w:space="0"/>
              <w:bottom w:val="single" w:color="000000" w:sz="4" w:space="0"/>
              <w:right w:val="single" w:color="auto" w:sz="4" w:space="0"/>
            </w:tcBorders>
            <w:vAlign w:val="center"/>
          </w:tcPr>
          <w:p w14:paraId="31CA01F6">
            <w:pPr>
              <w:widowControl/>
              <w:jc w:val="center"/>
              <w:rPr>
                <w:rFonts w:ascii="微软雅黑 Light" w:hAnsi="微软雅黑 Light" w:eastAsia="微软雅黑 Light" w:cs="宋体"/>
                <w:b/>
                <w:bCs/>
                <w:color w:val="000000"/>
                <w:kern w:val="0"/>
                <w:sz w:val="18"/>
                <w:szCs w:val="18"/>
              </w:rPr>
            </w:pPr>
            <w:r>
              <w:rPr>
                <w:rFonts w:hint="eastAsia" w:ascii="微软雅黑 Light" w:hAnsi="微软雅黑 Light" w:eastAsia="微软雅黑 Light" w:cs="宋体"/>
                <w:b/>
                <w:bCs/>
                <w:color w:val="000000"/>
                <w:kern w:val="0"/>
                <w:sz w:val="18"/>
                <w:szCs w:val="18"/>
              </w:rPr>
              <w:t>实施服务</w:t>
            </w:r>
          </w:p>
        </w:tc>
        <w:tc>
          <w:tcPr>
            <w:tcW w:w="1653" w:type="dxa"/>
            <w:tcBorders>
              <w:top w:val="nil"/>
              <w:left w:val="nil"/>
              <w:bottom w:val="single" w:color="auto" w:sz="4" w:space="0"/>
              <w:right w:val="single" w:color="auto" w:sz="4" w:space="0"/>
            </w:tcBorders>
            <w:shd w:val="clear" w:color="000000" w:fill="FFFFFF"/>
            <w:vAlign w:val="center"/>
          </w:tcPr>
          <w:p w14:paraId="433C4456">
            <w:pPr>
              <w:widowControl/>
              <w:jc w:val="left"/>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华为云成长型企业数字化转型包集成实施服务</w:t>
            </w:r>
          </w:p>
        </w:tc>
        <w:tc>
          <w:tcPr>
            <w:tcW w:w="1247" w:type="dxa"/>
            <w:tcBorders>
              <w:top w:val="nil"/>
              <w:left w:val="nil"/>
              <w:bottom w:val="single" w:color="auto" w:sz="4" w:space="0"/>
              <w:right w:val="single" w:color="auto" w:sz="4" w:space="0"/>
            </w:tcBorders>
            <w:shd w:val="clear" w:color="000000" w:fill="FFFFFF"/>
            <w:vAlign w:val="center"/>
          </w:tcPr>
          <w:p w14:paraId="2A5979E8">
            <w:pPr>
              <w:widowControl/>
              <w:jc w:val="left"/>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项目管理规划服务-基础版</w:t>
            </w:r>
          </w:p>
        </w:tc>
        <w:tc>
          <w:tcPr>
            <w:tcW w:w="1160" w:type="dxa"/>
            <w:tcBorders>
              <w:top w:val="nil"/>
              <w:left w:val="nil"/>
              <w:bottom w:val="single" w:color="auto" w:sz="4" w:space="0"/>
              <w:right w:val="single" w:color="auto" w:sz="4" w:space="0"/>
            </w:tcBorders>
            <w:shd w:val="clear" w:color="000000" w:fill="FFFFFF"/>
            <w:vAlign w:val="center"/>
          </w:tcPr>
          <w:p w14:paraId="3C7C472A">
            <w:pPr>
              <w:widowControl/>
              <w:jc w:val="center"/>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一次性，个</w:t>
            </w:r>
          </w:p>
        </w:tc>
        <w:tc>
          <w:tcPr>
            <w:tcW w:w="560" w:type="dxa"/>
            <w:tcBorders>
              <w:top w:val="nil"/>
              <w:left w:val="nil"/>
              <w:bottom w:val="single" w:color="auto" w:sz="4" w:space="0"/>
              <w:right w:val="single" w:color="auto" w:sz="4" w:space="0"/>
            </w:tcBorders>
            <w:shd w:val="clear" w:color="000000" w:fill="FFF2CC"/>
            <w:vAlign w:val="center"/>
          </w:tcPr>
          <w:p w14:paraId="6AE980AF">
            <w:pPr>
              <w:widowControl/>
              <w:jc w:val="center"/>
              <w:rPr>
                <w:rFonts w:ascii="Microsoft YaHei UI Light" w:hAnsi="Microsoft YaHei UI Light" w:eastAsia="Microsoft YaHei UI Light" w:cs="宋体"/>
                <w:kern w:val="0"/>
                <w:sz w:val="18"/>
                <w:szCs w:val="18"/>
              </w:rPr>
            </w:pPr>
            <w:r>
              <w:rPr>
                <w:rFonts w:hint="eastAsia" w:ascii="Microsoft YaHei UI Light" w:hAnsi="Microsoft YaHei UI Light" w:eastAsia="Microsoft YaHei UI Light" w:cs="宋体"/>
                <w:kern w:val="0"/>
                <w:sz w:val="18"/>
                <w:szCs w:val="18"/>
              </w:rPr>
              <w:t xml:space="preserve">3 </w:t>
            </w:r>
          </w:p>
        </w:tc>
        <w:tc>
          <w:tcPr>
            <w:tcW w:w="1176" w:type="dxa"/>
            <w:tcBorders>
              <w:top w:val="nil"/>
              <w:left w:val="nil"/>
              <w:bottom w:val="single" w:color="auto" w:sz="4" w:space="0"/>
              <w:right w:val="single" w:color="auto" w:sz="4" w:space="0"/>
            </w:tcBorders>
            <w:shd w:val="clear" w:color="000000" w:fill="FFFFFF"/>
            <w:vAlign w:val="center"/>
          </w:tcPr>
          <w:p w14:paraId="08983514">
            <w:pPr>
              <w:widowControl/>
              <w:jc w:val="center"/>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 xml:space="preserve">¥30,000.00 </w:t>
            </w:r>
          </w:p>
        </w:tc>
        <w:tc>
          <w:tcPr>
            <w:tcW w:w="1284" w:type="dxa"/>
            <w:tcBorders>
              <w:top w:val="nil"/>
              <w:left w:val="nil"/>
              <w:bottom w:val="single" w:color="auto" w:sz="4" w:space="0"/>
              <w:right w:val="single" w:color="auto" w:sz="4" w:space="0"/>
            </w:tcBorders>
            <w:shd w:val="clear" w:color="000000" w:fill="FFFFFF"/>
            <w:vAlign w:val="center"/>
          </w:tcPr>
          <w:p w14:paraId="5B55DED0">
            <w:pPr>
              <w:widowControl/>
              <w:jc w:val="center"/>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 xml:space="preserve">¥90,000.00 </w:t>
            </w:r>
          </w:p>
        </w:tc>
      </w:tr>
      <w:tr w14:paraId="2B22ECC8">
        <w:trPr>
          <w:trHeight w:val="939" w:hRule="atLeast"/>
        </w:trPr>
        <w:tc>
          <w:tcPr>
            <w:tcW w:w="740" w:type="dxa"/>
            <w:vMerge w:val="continue"/>
            <w:tcBorders>
              <w:top w:val="nil"/>
              <w:left w:val="single" w:color="auto" w:sz="4" w:space="0"/>
              <w:bottom w:val="single" w:color="000000" w:sz="4" w:space="0"/>
              <w:right w:val="single" w:color="auto" w:sz="4" w:space="0"/>
            </w:tcBorders>
            <w:vAlign w:val="center"/>
          </w:tcPr>
          <w:p w14:paraId="18131C48">
            <w:pPr>
              <w:widowControl/>
              <w:jc w:val="left"/>
              <w:rPr>
                <w:rFonts w:ascii="微软雅黑 Light" w:hAnsi="微软雅黑 Light" w:eastAsia="微软雅黑 Light" w:cs="宋体"/>
                <w:b/>
                <w:bCs/>
                <w:color w:val="000000"/>
                <w:kern w:val="0"/>
                <w:sz w:val="18"/>
                <w:szCs w:val="18"/>
              </w:rPr>
            </w:pPr>
          </w:p>
        </w:tc>
        <w:tc>
          <w:tcPr>
            <w:tcW w:w="1653" w:type="dxa"/>
            <w:tcBorders>
              <w:top w:val="nil"/>
              <w:left w:val="nil"/>
              <w:bottom w:val="single" w:color="auto" w:sz="4" w:space="0"/>
              <w:right w:val="single" w:color="auto" w:sz="4" w:space="0"/>
            </w:tcBorders>
            <w:shd w:val="clear" w:color="000000" w:fill="FFFFFF"/>
            <w:vAlign w:val="center"/>
          </w:tcPr>
          <w:p w14:paraId="7732B688">
            <w:pPr>
              <w:widowControl/>
              <w:jc w:val="left"/>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S-ERP定制化实施服务MPN</w:t>
            </w:r>
          </w:p>
        </w:tc>
        <w:tc>
          <w:tcPr>
            <w:tcW w:w="1247" w:type="dxa"/>
            <w:tcBorders>
              <w:top w:val="nil"/>
              <w:left w:val="nil"/>
              <w:bottom w:val="single" w:color="auto" w:sz="4" w:space="0"/>
              <w:right w:val="single" w:color="auto" w:sz="4" w:space="0"/>
            </w:tcBorders>
            <w:shd w:val="clear" w:color="000000" w:fill="FFFFFF"/>
            <w:vAlign w:val="center"/>
          </w:tcPr>
          <w:p w14:paraId="57843EBE">
            <w:pPr>
              <w:widowControl/>
              <w:jc w:val="left"/>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定制化实施服务MPN</w:t>
            </w:r>
          </w:p>
        </w:tc>
        <w:tc>
          <w:tcPr>
            <w:tcW w:w="1160" w:type="dxa"/>
            <w:tcBorders>
              <w:top w:val="nil"/>
              <w:left w:val="nil"/>
              <w:bottom w:val="single" w:color="auto" w:sz="4" w:space="0"/>
              <w:right w:val="single" w:color="auto" w:sz="4" w:space="0"/>
            </w:tcBorders>
            <w:shd w:val="clear" w:color="000000" w:fill="FFFFFF"/>
            <w:vAlign w:val="center"/>
          </w:tcPr>
          <w:p w14:paraId="594C8913">
            <w:pPr>
              <w:widowControl/>
              <w:jc w:val="center"/>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一次性，个</w:t>
            </w:r>
          </w:p>
        </w:tc>
        <w:tc>
          <w:tcPr>
            <w:tcW w:w="560" w:type="dxa"/>
            <w:tcBorders>
              <w:top w:val="nil"/>
              <w:left w:val="nil"/>
              <w:bottom w:val="single" w:color="auto" w:sz="4" w:space="0"/>
              <w:right w:val="single" w:color="auto" w:sz="4" w:space="0"/>
            </w:tcBorders>
            <w:shd w:val="clear" w:color="000000" w:fill="FFF2CC"/>
            <w:vAlign w:val="center"/>
          </w:tcPr>
          <w:p w14:paraId="06A94B9E">
            <w:pPr>
              <w:widowControl/>
              <w:jc w:val="center"/>
              <w:rPr>
                <w:rFonts w:ascii="Microsoft YaHei UI Light" w:hAnsi="Microsoft YaHei UI Light" w:eastAsia="Microsoft YaHei UI Light" w:cs="宋体"/>
                <w:kern w:val="0"/>
                <w:sz w:val="18"/>
                <w:szCs w:val="18"/>
              </w:rPr>
            </w:pPr>
            <w:r>
              <w:rPr>
                <w:rFonts w:hint="eastAsia" w:ascii="Microsoft YaHei UI Light" w:hAnsi="Microsoft YaHei UI Light" w:eastAsia="Microsoft YaHei UI Light" w:cs="宋体"/>
                <w:kern w:val="0"/>
                <w:sz w:val="18"/>
                <w:szCs w:val="18"/>
              </w:rPr>
              <w:t xml:space="preserve">77 </w:t>
            </w:r>
          </w:p>
        </w:tc>
        <w:tc>
          <w:tcPr>
            <w:tcW w:w="1176" w:type="dxa"/>
            <w:tcBorders>
              <w:top w:val="nil"/>
              <w:left w:val="nil"/>
              <w:bottom w:val="single" w:color="auto" w:sz="4" w:space="0"/>
              <w:right w:val="single" w:color="auto" w:sz="4" w:space="0"/>
            </w:tcBorders>
            <w:shd w:val="clear" w:color="000000" w:fill="FFFFFF"/>
            <w:vAlign w:val="center"/>
          </w:tcPr>
          <w:p w14:paraId="34AB57BD">
            <w:pPr>
              <w:widowControl/>
              <w:jc w:val="center"/>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 xml:space="preserve">¥3,500.00 </w:t>
            </w:r>
          </w:p>
        </w:tc>
        <w:tc>
          <w:tcPr>
            <w:tcW w:w="1284" w:type="dxa"/>
            <w:tcBorders>
              <w:top w:val="nil"/>
              <w:left w:val="nil"/>
              <w:bottom w:val="single" w:color="auto" w:sz="4" w:space="0"/>
              <w:right w:val="single" w:color="auto" w:sz="4" w:space="0"/>
            </w:tcBorders>
            <w:shd w:val="clear" w:color="000000" w:fill="FFFFFF"/>
            <w:vAlign w:val="center"/>
          </w:tcPr>
          <w:p w14:paraId="4CF79458">
            <w:pPr>
              <w:widowControl/>
              <w:jc w:val="center"/>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 xml:space="preserve">¥269,500.00 </w:t>
            </w:r>
          </w:p>
        </w:tc>
      </w:tr>
      <w:tr w14:paraId="2D7B9C08">
        <w:trPr>
          <w:trHeight w:val="360" w:hRule="atLeast"/>
        </w:trPr>
        <w:tc>
          <w:tcPr>
            <w:tcW w:w="740" w:type="dxa"/>
            <w:tcBorders>
              <w:top w:val="single" w:color="auto" w:sz="4" w:space="0"/>
              <w:left w:val="single" w:color="auto" w:sz="4" w:space="0"/>
              <w:bottom w:val="single" w:color="auto" w:sz="4" w:space="0"/>
              <w:right w:val="nil"/>
            </w:tcBorders>
            <w:shd w:val="clear" w:color="000000" w:fill="FFFFFF"/>
            <w:vAlign w:val="center"/>
          </w:tcPr>
          <w:p w14:paraId="33B932CB">
            <w:pPr>
              <w:widowControl/>
              <w:jc w:val="left"/>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总价</w:t>
            </w:r>
          </w:p>
        </w:tc>
        <w:tc>
          <w:tcPr>
            <w:tcW w:w="1653" w:type="dxa"/>
            <w:tcBorders>
              <w:top w:val="single" w:color="auto" w:sz="4" w:space="0"/>
              <w:left w:val="nil"/>
              <w:bottom w:val="single" w:color="auto" w:sz="4" w:space="0"/>
              <w:right w:val="nil"/>
            </w:tcBorders>
            <w:shd w:val="clear" w:color="000000" w:fill="FFFFFF"/>
            <w:vAlign w:val="center"/>
          </w:tcPr>
          <w:p w14:paraId="1F0C2895">
            <w:pPr>
              <w:widowControl/>
              <w:jc w:val="left"/>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1247" w:type="dxa"/>
            <w:tcBorders>
              <w:top w:val="single" w:color="auto" w:sz="4" w:space="0"/>
              <w:left w:val="nil"/>
              <w:bottom w:val="single" w:color="auto" w:sz="4" w:space="0"/>
              <w:right w:val="nil"/>
            </w:tcBorders>
            <w:shd w:val="clear" w:color="000000" w:fill="FFFFFF"/>
            <w:vAlign w:val="center"/>
          </w:tcPr>
          <w:p w14:paraId="7BCE7B08">
            <w:pPr>
              <w:widowControl/>
              <w:jc w:val="left"/>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1160" w:type="dxa"/>
            <w:tcBorders>
              <w:top w:val="single" w:color="auto" w:sz="4" w:space="0"/>
              <w:left w:val="nil"/>
              <w:bottom w:val="single" w:color="auto" w:sz="4" w:space="0"/>
              <w:right w:val="nil"/>
            </w:tcBorders>
            <w:shd w:val="clear" w:color="000000" w:fill="FFFFFF"/>
            <w:vAlign w:val="center"/>
          </w:tcPr>
          <w:p w14:paraId="1598F333">
            <w:pPr>
              <w:widowControl/>
              <w:jc w:val="left"/>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560" w:type="dxa"/>
            <w:tcBorders>
              <w:top w:val="single" w:color="auto" w:sz="4" w:space="0"/>
              <w:left w:val="nil"/>
              <w:bottom w:val="single" w:color="auto" w:sz="4" w:space="0"/>
              <w:right w:val="nil"/>
            </w:tcBorders>
            <w:shd w:val="clear" w:color="000000" w:fill="FFFFFF"/>
            <w:vAlign w:val="center"/>
          </w:tcPr>
          <w:p w14:paraId="297E1FEE">
            <w:pPr>
              <w:widowControl/>
              <w:jc w:val="left"/>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1176" w:type="dxa"/>
            <w:tcBorders>
              <w:top w:val="single" w:color="auto" w:sz="4" w:space="0"/>
              <w:left w:val="nil"/>
              <w:bottom w:val="single" w:color="auto" w:sz="4" w:space="0"/>
              <w:right w:val="single" w:color="auto" w:sz="4" w:space="0"/>
            </w:tcBorders>
            <w:shd w:val="clear" w:color="000000" w:fill="FFFFFF"/>
            <w:vAlign w:val="center"/>
          </w:tcPr>
          <w:p w14:paraId="59335C87">
            <w:pPr>
              <w:widowControl/>
              <w:jc w:val="left"/>
              <w:rPr>
                <w:rFonts w:ascii="微软雅黑 Light" w:hAnsi="微软雅黑 Light" w:eastAsia="微软雅黑 Light" w:cs="宋体"/>
                <w:color w:val="000000"/>
                <w:kern w:val="0"/>
                <w:sz w:val="22"/>
                <w:szCs w:val="22"/>
              </w:rPr>
            </w:pPr>
            <w:r>
              <w:rPr>
                <w:rFonts w:hint="eastAsia" w:ascii="微软雅黑 Light" w:hAnsi="微软雅黑 Light" w:eastAsia="微软雅黑 Light" w:cs="宋体"/>
                <w:color w:val="000000"/>
                <w:kern w:val="0"/>
                <w:sz w:val="22"/>
                <w:szCs w:val="22"/>
              </w:rPr>
              <w:t>　</w:t>
            </w:r>
          </w:p>
        </w:tc>
        <w:tc>
          <w:tcPr>
            <w:tcW w:w="1284" w:type="dxa"/>
            <w:tcBorders>
              <w:top w:val="nil"/>
              <w:left w:val="single" w:color="auto" w:sz="4" w:space="0"/>
              <w:bottom w:val="single" w:color="auto" w:sz="4" w:space="0"/>
              <w:right w:val="single" w:color="auto" w:sz="4" w:space="0"/>
            </w:tcBorders>
            <w:shd w:val="clear" w:color="000000" w:fill="FFFFFF"/>
            <w:vAlign w:val="center"/>
          </w:tcPr>
          <w:p w14:paraId="3C29F9BC">
            <w:pPr>
              <w:widowControl/>
              <w:jc w:val="center"/>
              <w:rPr>
                <w:rFonts w:ascii="Microsoft YaHei UI Light" w:hAnsi="Microsoft YaHei UI Light" w:eastAsia="Microsoft YaHei UI Light" w:cs="宋体"/>
                <w:color w:val="000000"/>
                <w:kern w:val="0"/>
                <w:sz w:val="18"/>
                <w:szCs w:val="18"/>
              </w:rPr>
            </w:pPr>
            <w:r>
              <w:rPr>
                <w:rFonts w:hint="eastAsia" w:ascii="Microsoft YaHei UI Light" w:hAnsi="Microsoft YaHei UI Light" w:eastAsia="Microsoft YaHei UI Light" w:cs="宋体"/>
                <w:color w:val="000000"/>
                <w:kern w:val="0"/>
                <w:sz w:val="18"/>
                <w:szCs w:val="18"/>
              </w:rPr>
              <w:t xml:space="preserve">¥359,500.00 </w:t>
            </w:r>
          </w:p>
        </w:tc>
      </w:tr>
    </w:tbl>
    <w:p w14:paraId="22877411">
      <w:pPr>
        <w:pStyle w:val="2"/>
        <w:ind w:firstLine="480"/>
      </w:pPr>
    </w:p>
    <w:p w14:paraId="475AC7C3">
      <w:pPr>
        <w:pStyle w:val="2"/>
        <w:ind w:firstLine="480"/>
      </w:pPr>
    </w:p>
    <w:sectPr>
      <w:footerReference r:id="rId3"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h" xmlns:w16se="http://schemas.microsoft.com/office/word/2015/wordml/symex">
  <w:comment w:id="1" w:author="AI审查助手" w:date="Wed Nov 05 10:31:17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附件完整性问题：</w:t>
      </w:r>
      <w:r>
        <w:t xml:space="preserve">条款中提到的附件1（华为云商品及与服务清单）未确认是否实际附于合同文件中，存在附件缺失风险。</w:t>
      </w:r>
    </w:p>
    <w:p>
      <w:r>
        <w:rPr>
          <w:rFonts w:ascii="Arial" w:hAnsi="Arial" w:eastAsia="Arial" w:cs="Arial"/>
          <w:b/>
          <w:bCs/>
          <w:sz w:val="22"/>
        </w:rPr>
        <w:t xml:space="preserve">建议：</w:t>
      </w:r>
      <w:r>
        <w:t xml:space="preserve">请核实并确保附件1已随合同提供。如果附件尚未完成，请补充明确的交付时间或说明。</w:t>
      </w:r>
    </w:p>
  </w:comment>
  <w:comment w:id="2" w:author="AI审查助手" w:date="Wed Nov 05 10:31:17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错别字/标点错误问题：</w:t>
      </w:r>
      <w:r>
        <w:t xml:space="preserve">条款中'签署日期：2025年 月 日'和'签署日期：2025年 月 日'存在格式不统一问题，且月份与日期为空白。</w:t>
      </w:r>
    </w:p>
    <w:p>
      <w:r>
        <w:rPr>
          <w:rFonts w:ascii="Arial" w:hAnsi="Arial" w:eastAsia="Arial" w:cs="Arial"/>
          <w:b/>
          <w:bCs/>
          <w:sz w:val="22"/>
        </w:rPr>
        <w:t xml:space="preserve">建议：</w:t>
      </w:r>
      <w:r>
        <w:t xml:space="preserve">统一日期格式，并在正式签署前补全具体日期，例如'签署日期：2025年XX月XX日'。</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仿宋_GB2312">
    <w:altName w:val="方正仿宋_GBK"/>
    <w:panose1 w:val="00000000000000000000"/>
    <w:charset w:val="86"/>
    <w:family w:val="modern"/>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微软雅黑 Light">
    <w:altName w:val="汉仪中黑KW"/>
    <w:panose1 w:val="020B0502040204020203"/>
    <w:charset w:val="86"/>
    <w:family w:val="swiss"/>
    <w:pitch w:val="default"/>
    <w:sig w:usb0="00000000" w:usb1="00000000"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Microsoft YaHei UI Light">
    <w:altName w:val="苹方-简"/>
    <w:panose1 w:val="020B0502040204020203"/>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2935009"/>
    </w:sdtPr>
    <w:sdtContent>
      <w:p w14:paraId="49A47788">
        <w:pPr>
          <w:pStyle w:val="6"/>
          <w:jc w:val="center"/>
        </w:pPr>
        <w:r>
          <w:fldChar w:fldCharType="begin"/>
        </w:r>
        <w:r>
          <w:instrText xml:space="preserve">PAGE   \* MERGEFORMAT</w:instrText>
        </w:r>
        <w:r>
          <w:fldChar w:fldCharType="separate"/>
        </w:r>
        <w:r>
          <w:rPr>
            <w:lang w:val="zh-CN"/>
          </w:rPr>
          <w:t>2</w:t>
        </w:r>
        <w:r>
          <w:fldChar w:fldCharType="end"/>
        </w:r>
      </w:p>
    </w:sdtContent>
  </w:sdt>
  <w:p w14:paraId="458A7340">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Y1YzdhMDdkYzFiZGI3NjI0M2NiMzlkMTBmN2Q5NDcifQ=="/>
    <w:docVar w:name="KSO_WPS_MARK_KEY" w:val="4b50a0d4-7269-4fa5-b2e5-255a788fdbe7"/>
  </w:docVars>
  <w:rsids>
    <w:rsidRoot w:val="B8EFD1CC"/>
    <w:rsid w:val="00010356"/>
    <w:rsid w:val="00010B68"/>
    <w:rsid w:val="000135DA"/>
    <w:rsid w:val="000163AE"/>
    <w:rsid w:val="00035610"/>
    <w:rsid w:val="00036844"/>
    <w:rsid w:val="00042ECE"/>
    <w:rsid w:val="00047A09"/>
    <w:rsid w:val="00050EC0"/>
    <w:rsid w:val="000541CE"/>
    <w:rsid w:val="000560EA"/>
    <w:rsid w:val="00057A0C"/>
    <w:rsid w:val="00064F7B"/>
    <w:rsid w:val="000778B8"/>
    <w:rsid w:val="0008394C"/>
    <w:rsid w:val="000900F5"/>
    <w:rsid w:val="000B38FB"/>
    <w:rsid w:val="000C0648"/>
    <w:rsid w:val="000C47E1"/>
    <w:rsid w:val="000D18D7"/>
    <w:rsid w:val="000D63F9"/>
    <w:rsid w:val="000D6997"/>
    <w:rsid w:val="000D6D50"/>
    <w:rsid w:val="000E4DE3"/>
    <w:rsid w:val="000E5E0B"/>
    <w:rsid w:val="000E6839"/>
    <w:rsid w:val="00106FC7"/>
    <w:rsid w:val="001149F3"/>
    <w:rsid w:val="00134D29"/>
    <w:rsid w:val="001370C9"/>
    <w:rsid w:val="00141069"/>
    <w:rsid w:val="00141F15"/>
    <w:rsid w:val="001439D4"/>
    <w:rsid w:val="00152243"/>
    <w:rsid w:val="00152647"/>
    <w:rsid w:val="001603D7"/>
    <w:rsid w:val="0017042C"/>
    <w:rsid w:val="00175119"/>
    <w:rsid w:val="0018260F"/>
    <w:rsid w:val="00196F19"/>
    <w:rsid w:val="001A0C27"/>
    <w:rsid w:val="001A6A37"/>
    <w:rsid w:val="001B7742"/>
    <w:rsid w:val="001B7C70"/>
    <w:rsid w:val="001C34F7"/>
    <w:rsid w:val="001C5018"/>
    <w:rsid w:val="001D184D"/>
    <w:rsid w:val="001D33A3"/>
    <w:rsid w:val="001D7DD8"/>
    <w:rsid w:val="001E11F6"/>
    <w:rsid w:val="001E487F"/>
    <w:rsid w:val="001F1886"/>
    <w:rsid w:val="001F2FD1"/>
    <w:rsid w:val="00207A85"/>
    <w:rsid w:val="00225CA6"/>
    <w:rsid w:val="0023264C"/>
    <w:rsid w:val="00247ED5"/>
    <w:rsid w:val="002A4E9F"/>
    <w:rsid w:val="002B16AE"/>
    <w:rsid w:val="002C5880"/>
    <w:rsid w:val="002D2A3F"/>
    <w:rsid w:val="002D3625"/>
    <w:rsid w:val="002D6FDE"/>
    <w:rsid w:val="002F22F8"/>
    <w:rsid w:val="00300AA6"/>
    <w:rsid w:val="00302FF7"/>
    <w:rsid w:val="00304756"/>
    <w:rsid w:val="00311E53"/>
    <w:rsid w:val="003212C9"/>
    <w:rsid w:val="00323A16"/>
    <w:rsid w:val="00326CEC"/>
    <w:rsid w:val="00342DEC"/>
    <w:rsid w:val="00353949"/>
    <w:rsid w:val="003631AC"/>
    <w:rsid w:val="00363E5F"/>
    <w:rsid w:val="003652B8"/>
    <w:rsid w:val="003665A3"/>
    <w:rsid w:val="003716DC"/>
    <w:rsid w:val="003731EA"/>
    <w:rsid w:val="0037476B"/>
    <w:rsid w:val="003809F5"/>
    <w:rsid w:val="00382DB0"/>
    <w:rsid w:val="003919CB"/>
    <w:rsid w:val="00397D67"/>
    <w:rsid w:val="003A4C7F"/>
    <w:rsid w:val="003A71D0"/>
    <w:rsid w:val="003B3AEF"/>
    <w:rsid w:val="003D07FD"/>
    <w:rsid w:val="003E0B90"/>
    <w:rsid w:val="00401262"/>
    <w:rsid w:val="004123DF"/>
    <w:rsid w:val="00431825"/>
    <w:rsid w:val="004401AE"/>
    <w:rsid w:val="00441F53"/>
    <w:rsid w:val="00446619"/>
    <w:rsid w:val="004533A2"/>
    <w:rsid w:val="00453D5B"/>
    <w:rsid w:val="00463FC1"/>
    <w:rsid w:val="004837A7"/>
    <w:rsid w:val="004931F1"/>
    <w:rsid w:val="00497041"/>
    <w:rsid w:val="004A0E10"/>
    <w:rsid w:val="004B2BB4"/>
    <w:rsid w:val="004C1A1C"/>
    <w:rsid w:val="004C5E74"/>
    <w:rsid w:val="004C7813"/>
    <w:rsid w:val="004D1D30"/>
    <w:rsid w:val="004D68A3"/>
    <w:rsid w:val="004E1A25"/>
    <w:rsid w:val="004F1823"/>
    <w:rsid w:val="004F2E14"/>
    <w:rsid w:val="004F5D0D"/>
    <w:rsid w:val="005062B3"/>
    <w:rsid w:val="0051667F"/>
    <w:rsid w:val="00524310"/>
    <w:rsid w:val="00525E1C"/>
    <w:rsid w:val="005271E2"/>
    <w:rsid w:val="00531C3E"/>
    <w:rsid w:val="00541637"/>
    <w:rsid w:val="00542D9A"/>
    <w:rsid w:val="0056336B"/>
    <w:rsid w:val="005735CF"/>
    <w:rsid w:val="005811C9"/>
    <w:rsid w:val="00583433"/>
    <w:rsid w:val="00584835"/>
    <w:rsid w:val="00587AC2"/>
    <w:rsid w:val="005A0E37"/>
    <w:rsid w:val="005A2DA9"/>
    <w:rsid w:val="005A620E"/>
    <w:rsid w:val="005A671B"/>
    <w:rsid w:val="005A7A5A"/>
    <w:rsid w:val="005A7C92"/>
    <w:rsid w:val="005A7E77"/>
    <w:rsid w:val="005C14EB"/>
    <w:rsid w:val="005D3006"/>
    <w:rsid w:val="005F4910"/>
    <w:rsid w:val="005F5B81"/>
    <w:rsid w:val="005F6FF3"/>
    <w:rsid w:val="006266BA"/>
    <w:rsid w:val="00627336"/>
    <w:rsid w:val="00643DFC"/>
    <w:rsid w:val="00650D68"/>
    <w:rsid w:val="00656E49"/>
    <w:rsid w:val="0066142B"/>
    <w:rsid w:val="006760B5"/>
    <w:rsid w:val="00681ED6"/>
    <w:rsid w:val="00683D12"/>
    <w:rsid w:val="00690D05"/>
    <w:rsid w:val="006935A0"/>
    <w:rsid w:val="00694777"/>
    <w:rsid w:val="006A208A"/>
    <w:rsid w:val="006A32EF"/>
    <w:rsid w:val="006A6B16"/>
    <w:rsid w:val="006B2E6F"/>
    <w:rsid w:val="006C5C8D"/>
    <w:rsid w:val="006C6255"/>
    <w:rsid w:val="006C7DE6"/>
    <w:rsid w:val="006E1DCA"/>
    <w:rsid w:val="006E2511"/>
    <w:rsid w:val="006E6226"/>
    <w:rsid w:val="006E7C88"/>
    <w:rsid w:val="00704DBA"/>
    <w:rsid w:val="00727D6B"/>
    <w:rsid w:val="00727F30"/>
    <w:rsid w:val="00745F84"/>
    <w:rsid w:val="0076498E"/>
    <w:rsid w:val="00771096"/>
    <w:rsid w:val="00772F52"/>
    <w:rsid w:val="0078087B"/>
    <w:rsid w:val="007928E3"/>
    <w:rsid w:val="007A7B69"/>
    <w:rsid w:val="007B49E3"/>
    <w:rsid w:val="007C09C1"/>
    <w:rsid w:val="007D5E6B"/>
    <w:rsid w:val="007F0441"/>
    <w:rsid w:val="007F5ED6"/>
    <w:rsid w:val="00836F20"/>
    <w:rsid w:val="00845C8A"/>
    <w:rsid w:val="008524BC"/>
    <w:rsid w:val="0085610A"/>
    <w:rsid w:val="00861FFA"/>
    <w:rsid w:val="00871038"/>
    <w:rsid w:val="00882F28"/>
    <w:rsid w:val="008845D0"/>
    <w:rsid w:val="008865FC"/>
    <w:rsid w:val="008A04FE"/>
    <w:rsid w:val="008B3797"/>
    <w:rsid w:val="008B5EB1"/>
    <w:rsid w:val="008B7006"/>
    <w:rsid w:val="008C4DCF"/>
    <w:rsid w:val="008C6516"/>
    <w:rsid w:val="008C6B68"/>
    <w:rsid w:val="008D142E"/>
    <w:rsid w:val="008D6200"/>
    <w:rsid w:val="008E673D"/>
    <w:rsid w:val="008F5B40"/>
    <w:rsid w:val="00921674"/>
    <w:rsid w:val="009444C8"/>
    <w:rsid w:val="00954519"/>
    <w:rsid w:val="009552F7"/>
    <w:rsid w:val="00961264"/>
    <w:rsid w:val="00970C2A"/>
    <w:rsid w:val="009746CD"/>
    <w:rsid w:val="009752D6"/>
    <w:rsid w:val="00976B6E"/>
    <w:rsid w:val="00980589"/>
    <w:rsid w:val="00993FA5"/>
    <w:rsid w:val="009A2A87"/>
    <w:rsid w:val="009C1CEB"/>
    <w:rsid w:val="009C1E6B"/>
    <w:rsid w:val="009D34C5"/>
    <w:rsid w:val="009D525C"/>
    <w:rsid w:val="009D7691"/>
    <w:rsid w:val="009E145D"/>
    <w:rsid w:val="009F60AA"/>
    <w:rsid w:val="00A124D8"/>
    <w:rsid w:val="00A147F0"/>
    <w:rsid w:val="00A24A78"/>
    <w:rsid w:val="00A44618"/>
    <w:rsid w:val="00A579FB"/>
    <w:rsid w:val="00A82255"/>
    <w:rsid w:val="00A83029"/>
    <w:rsid w:val="00A927A2"/>
    <w:rsid w:val="00A94BAD"/>
    <w:rsid w:val="00AB2EE4"/>
    <w:rsid w:val="00AB376D"/>
    <w:rsid w:val="00AB4EF0"/>
    <w:rsid w:val="00AB731B"/>
    <w:rsid w:val="00AC197E"/>
    <w:rsid w:val="00AC31E9"/>
    <w:rsid w:val="00AC5DC3"/>
    <w:rsid w:val="00AD4823"/>
    <w:rsid w:val="00AD6BCC"/>
    <w:rsid w:val="00AD77CE"/>
    <w:rsid w:val="00AE42A1"/>
    <w:rsid w:val="00AE5003"/>
    <w:rsid w:val="00AF4A3B"/>
    <w:rsid w:val="00AF4BB5"/>
    <w:rsid w:val="00B324CE"/>
    <w:rsid w:val="00B61E8E"/>
    <w:rsid w:val="00B64EB5"/>
    <w:rsid w:val="00B7511A"/>
    <w:rsid w:val="00B76A9C"/>
    <w:rsid w:val="00BB035C"/>
    <w:rsid w:val="00BB6871"/>
    <w:rsid w:val="00BC3BBA"/>
    <w:rsid w:val="00BE2246"/>
    <w:rsid w:val="00BE61DC"/>
    <w:rsid w:val="00C04A5E"/>
    <w:rsid w:val="00C06458"/>
    <w:rsid w:val="00C07761"/>
    <w:rsid w:val="00C144CF"/>
    <w:rsid w:val="00C21E6F"/>
    <w:rsid w:val="00C250BA"/>
    <w:rsid w:val="00C355B0"/>
    <w:rsid w:val="00C43266"/>
    <w:rsid w:val="00C511EA"/>
    <w:rsid w:val="00C67A2F"/>
    <w:rsid w:val="00C83471"/>
    <w:rsid w:val="00C85C78"/>
    <w:rsid w:val="00C92356"/>
    <w:rsid w:val="00C94D99"/>
    <w:rsid w:val="00CB28C5"/>
    <w:rsid w:val="00CB439D"/>
    <w:rsid w:val="00CB4E9F"/>
    <w:rsid w:val="00CC2BAD"/>
    <w:rsid w:val="00CC4839"/>
    <w:rsid w:val="00CC5B59"/>
    <w:rsid w:val="00CD175C"/>
    <w:rsid w:val="00CE1C0B"/>
    <w:rsid w:val="00CF19BE"/>
    <w:rsid w:val="00CF3AB6"/>
    <w:rsid w:val="00D05944"/>
    <w:rsid w:val="00D061EC"/>
    <w:rsid w:val="00D15564"/>
    <w:rsid w:val="00D279AC"/>
    <w:rsid w:val="00D315B5"/>
    <w:rsid w:val="00D56C28"/>
    <w:rsid w:val="00D575EF"/>
    <w:rsid w:val="00D72350"/>
    <w:rsid w:val="00D76282"/>
    <w:rsid w:val="00D85877"/>
    <w:rsid w:val="00D91394"/>
    <w:rsid w:val="00D928D4"/>
    <w:rsid w:val="00D96D62"/>
    <w:rsid w:val="00DA582D"/>
    <w:rsid w:val="00DB5105"/>
    <w:rsid w:val="00DC5710"/>
    <w:rsid w:val="00DD3020"/>
    <w:rsid w:val="00DD328F"/>
    <w:rsid w:val="00DF5B94"/>
    <w:rsid w:val="00E0120E"/>
    <w:rsid w:val="00E05DE7"/>
    <w:rsid w:val="00E32C20"/>
    <w:rsid w:val="00E436D2"/>
    <w:rsid w:val="00E4779C"/>
    <w:rsid w:val="00E614BA"/>
    <w:rsid w:val="00E73C70"/>
    <w:rsid w:val="00E8485F"/>
    <w:rsid w:val="00E86FC9"/>
    <w:rsid w:val="00E90E4A"/>
    <w:rsid w:val="00EA1FA9"/>
    <w:rsid w:val="00EB13A7"/>
    <w:rsid w:val="00EB23BF"/>
    <w:rsid w:val="00EB2ADE"/>
    <w:rsid w:val="00EC02D3"/>
    <w:rsid w:val="00EC12AC"/>
    <w:rsid w:val="00EC5C83"/>
    <w:rsid w:val="00EC6B62"/>
    <w:rsid w:val="00EE57DC"/>
    <w:rsid w:val="00F05C82"/>
    <w:rsid w:val="00F173BA"/>
    <w:rsid w:val="00F24B89"/>
    <w:rsid w:val="00F5654D"/>
    <w:rsid w:val="00F63468"/>
    <w:rsid w:val="00F72C1B"/>
    <w:rsid w:val="00F74B7B"/>
    <w:rsid w:val="00F8220E"/>
    <w:rsid w:val="00F966B2"/>
    <w:rsid w:val="00FB136F"/>
    <w:rsid w:val="00FB669A"/>
    <w:rsid w:val="00FC381D"/>
    <w:rsid w:val="00FD4240"/>
    <w:rsid w:val="00FE59F8"/>
    <w:rsid w:val="00FE779D"/>
    <w:rsid w:val="02235D3A"/>
    <w:rsid w:val="03DE3CAC"/>
    <w:rsid w:val="03E07A24"/>
    <w:rsid w:val="040A2CF3"/>
    <w:rsid w:val="053E7F1C"/>
    <w:rsid w:val="05EA6938"/>
    <w:rsid w:val="06D029FF"/>
    <w:rsid w:val="06D118A6"/>
    <w:rsid w:val="06DE1036"/>
    <w:rsid w:val="06F46D37"/>
    <w:rsid w:val="071E0F8F"/>
    <w:rsid w:val="078F7BE7"/>
    <w:rsid w:val="08AC79DC"/>
    <w:rsid w:val="09FB1114"/>
    <w:rsid w:val="0BCD4796"/>
    <w:rsid w:val="0C175FAD"/>
    <w:rsid w:val="0C693EEC"/>
    <w:rsid w:val="0CD67C16"/>
    <w:rsid w:val="0CE73070"/>
    <w:rsid w:val="0DCE48BC"/>
    <w:rsid w:val="0F0761A3"/>
    <w:rsid w:val="0FD556FA"/>
    <w:rsid w:val="115C0DA5"/>
    <w:rsid w:val="134B74D4"/>
    <w:rsid w:val="136F1CA1"/>
    <w:rsid w:val="137D703E"/>
    <w:rsid w:val="14495172"/>
    <w:rsid w:val="14524026"/>
    <w:rsid w:val="14773A8D"/>
    <w:rsid w:val="15CE3B81"/>
    <w:rsid w:val="16D2144F"/>
    <w:rsid w:val="171001C9"/>
    <w:rsid w:val="18085FD3"/>
    <w:rsid w:val="18C468AD"/>
    <w:rsid w:val="19727782"/>
    <w:rsid w:val="1A2B77F4"/>
    <w:rsid w:val="1A8E1B30"/>
    <w:rsid w:val="1ADF238C"/>
    <w:rsid w:val="1B6C0AFA"/>
    <w:rsid w:val="1BE50FB1"/>
    <w:rsid w:val="1C24524A"/>
    <w:rsid w:val="207A6636"/>
    <w:rsid w:val="2503462D"/>
    <w:rsid w:val="253F4153"/>
    <w:rsid w:val="256242E5"/>
    <w:rsid w:val="256622E7"/>
    <w:rsid w:val="257024F6"/>
    <w:rsid w:val="26377520"/>
    <w:rsid w:val="26ED5E31"/>
    <w:rsid w:val="27196C26"/>
    <w:rsid w:val="278B7B24"/>
    <w:rsid w:val="27E204B7"/>
    <w:rsid w:val="28101DD7"/>
    <w:rsid w:val="28745E2E"/>
    <w:rsid w:val="29565787"/>
    <w:rsid w:val="29A053DC"/>
    <w:rsid w:val="2A5B39C9"/>
    <w:rsid w:val="2B2C14B6"/>
    <w:rsid w:val="2BFA4038"/>
    <w:rsid w:val="2C61292C"/>
    <w:rsid w:val="2DE80CD6"/>
    <w:rsid w:val="2E081EB6"/>
    <w:rsid w:val="2EBF4557"/>
    <w:rsid w:val="2F5051AF"/>
    <w:rsid w:val="31975317"/>
    <w:rsid w:val="3244198C"/>
    <w:rsid w:val="32566F80"/>
    <w:rsid w:val="33811DDB"/>
    <w:rsid w:val="34AF6587"/>
    <w:rsid w:val="35985F63"/>
    <w:rsid w:val="389820A0"/>
    <w:rsid w:val="38FA4D9B"/>
    <w:rsid w:val="38FC4F7F"/>
    <w:rsid w:val="392456E2"/>
    <w:rsid w:val="394A46A7"/>
    <w:rsid w:val="3B620744"/>
    <w:rsid w:val="3BBE45A0"/>
    <w:rsid w:val="3C4C3631"/>
    <w:rsid w:val="3D712EC0"/>
    <w:rsid w:val="3DB8289D"/>
    <w:rsid w:val="3DC54FBA"/>
    <w:rsid w:val="3E1A5306"/>
    <w:rsid w:val="3E236445"/>
    <w:rsid w:val="3E5527E2"/>
    <w:rsid w:val="3EAD7F28"/>
    <w:rsid w:val="3F087854"/>
    <w:rsid w:val="3F365354"/>
    <w:rsid w:val="40B15AAC"/>
    <w:rsid w:val="416F5968"/>
    <w:rsid w:val="44082685"/>
    <w:rsid w:val="440B613F"/>
    <w:rsid w:val="44466E54"/>
    <w:rsid w:val="444C1F91"/>
    <w:rsid w:val="44ED2FD3"/>
    <w:rsid w:val="44F06DC0"/>
    <w:rsid w:val="45CD0EAF"/>
    <w:rsid w:val="45D43FEC"/>
    <w:rsid w:val="4687038D"/>
    <w:rsid w:val="46AE0CE1"/>
    <w:rsid w:val="47BA7AB1"/>
    <w:rsid w:val="482C6361"/>
    <w:rsid w:val="492F7BCE"/>
    <w:rsid w:val="4A8C1339"/>
    <w:rsid w:val="4BE86A43"/>
    <w:rsid w:val="4C006DFF"/>
    <w:rsid w:val="4C7E1155"/>
    <w:rsid w:val="4D207720"/>
    <w:rsid w:val="4D9F7C1E"/>
    <w:rsid w:val="4DB76754"/>
    <w:rsid w:val="4E726A98"/>
    <w:rsid w:val="4E8C5DAC"/>
    <w:rsid w:val="4ED941AA"/>
    <w:rsid w:val="4F561D6E"/>
    <w:rsid w:val="4FFE0A74"/>
    <w:rsid w:val="50E657BF"/>
    <w:rsid w:val="511300BE"/>
    <w:rsid w:val="52181704"/>
    <w:rsid w:val="522C656D"/>
    <w:rsid w:val="52595FA5"/>
    <w:rsid w:val="52C11D9C"/>
    <w:rsid w:val="52D76C70"/>
    <w:rsid w:val="542D76E9"/>
    <w:rsid w:val="55A75279"/>
    <w:rsid w:val="57234DD3"/>
    <w:rsid w:val="575D7376"/>
    <w:rsid w:val="582F7861"/>
    <w:rsid w:val="58A77239"/>
    <w:rsid w:val="59BE0AAC"/>
    <w:rsid w:val="5A9206AA"/>
    <w:rsid w:val="5ACE1C12"/>
    <w:rsid w:val="5D9713B7"/>
    <w:rsid w:val="5E1B6804"/>
    <w:rsid w:val="5F242081"/>
    <w:rsid w:val="5FB40AB0"/>
    <w:rsid w:val="60F021CA"/>
    <w:rsid w:val="617B320F"/>
    <w:rsid w:val="62E713AB"/>
    <w:rsid w:val="64197DB0"/>
    <w:rsid w:val="64934ED8"/>
    <w:rsid w:val="67B22756"/>
    <w:rsid w:val="69052693"/>
    <w:rsid w:val="690C1B6B"/>
    <w:rsid w:val="69212299"/>
    <w:rsid w:val="69F30FCE"/>
    <w:rsid w:val="6A301889"/>
    <w:rsid w:val="6BBF75FF"/>
    <w:rsid w:val="6D30394E"/>
    <w:rsid w:val="6D48513C"/>
    <w:rsid w:val="6DE2733E"/>
    <w:rsid w:val="6E71421E"/>
    <w:rsid w:val="6F806E0F"/>
    <w:rsid w:val="70B34FC2"/>
    <w:rsid w:val="70D80585"/>
    <w:rsid w:val="72AB655E"/>
    <w:rsid w:val="73952ACA"/>
    <w:rsid w:val="73B47087"/>
    <w:rsid w:val="73FF479F"/>
    <w:rsid w:val="74AF784E"/>
    <w:rsid w:val="74B530B7"/>
    <w:rsid w:val="75367B70"/>
    <w:rsid w:val="75991677"/>
    <w:rsid w:val="75D736D1"/>
    <w:rsid w:val="75E874BC"/>
    <w:rsid w:val="76F33A62"/>
    <w:rsid w:val="770E2F52"/>
    <w:rsid w:val="781F0404"/>
    <w:rsid w:val="78483B83"/>
    <w:rsid w:val="78A21BA4"/>
    <w:rsid w:val="78F90987"/>
    <w:rsid w:val="79A44413"/>
    <w:rsid w:val="7B98103C"/>
    <w:rsid w:val="7BD06A28"/>
    <w:rsid w:val="7BE5408E"/>
    <w:rsid w:val="7C064FD8"/>
    <w:rsid w:val="7D2C5F36"/>
    <w:rsid w:val="7D40198C"/>
    <w:rsid w:val="7E557A96"/>
    <w:rsid w:val="B5EFF662"/>
    <w:rsid w:val="B8EFD1CC"/>
    <w:rsid w:val="DDFD1376"/>
    <w:rsid w:val="EBCFBAB8"/>
    <w:rsid w:val="F57F1D75"/>
    <w:rsid w:val="FF8B3BBB"/>
    <w:rsid w:val="FFCFEE2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3"/>
    <w:basedOn w:val="1"/>
    <w:next w:val="1"/>
    <w:link w:val="25"/>
    <w:qFormat/>
    <w:uiPriority w:val="9"/>
    <w:pPr>
      <w:widowControl/>
      <w:spacing w:before="100" w:beforeAutospacing="1" w:after="100" w:afterAutospacing="1"/>
      <w:jc w:val="left"/>
      <w:outlineLvl w:val="2"/>
    </w:pPr>
    <w:rPr>
      <w:rFonts w:ascii="Times New Roman" w:hAnsi="Times New Roman" w:eastAsia="Times New Roman" w:cs="Times New Roman"/>
      <w:b/>
      <w:bCs/>
      <w:kern w:val="0"/>
      <w:sz w:val="27"/>
      <w:szCs w:val="27"/>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customStyle="1" w:styleId="2">
    <w:name w:val="_Style 5"/>
    <w:qFormat/>
    <w:uiPriority w:val="0"/>
    <w:pPr>
      <w:widowControl w:val="0"/>
      <w:ind w:firstLine="200" w:firstLineChars="200"/>
      <w:jc w:val="both"/>
    </w:pPr>
    <w:rPr>
      <w:rFonts w:ascii="等线" w:hAnsi="等线" w:eastAsia="宋体" w:cs="Times New Roman"/>
      <w:kern w:val="2"/>
      <w:sz w:val="24"/>
      <w:szCs w:val="22"/>
      <w:lang w:val="en-US" w:eastAsia="zh-CN" w:bidi="ar-SA"/>
    </w:rPr>
  </w:style>
  <w:style w:type="paragraph" w:styleId="4">
    <w:name w:val="annotation text"/>
    <w:basedOn w:val="1"/>
    <w:link w:val="20"/>
    <w:qFormat/>
    <w:uiPriority w:val="0"/>
    <w:pPr>
      <w:jc w:val="left"/>
    </w:pPr>
  </w:style>
  <w:style w:type="paragraph" w:styleId="5">
    <w:name w:val="Balloon Text"/>
    <w:basedOn w:val="1"/>
    <w:link w:val="18"/>
    <w:qFormat/>
    <w:uiPriority w:val="0"/>
    <w:rPr>
      <w:rFonts w:ascii="宋体" w:eastAsia="宋体"/>
      <w:sz w:val="18"/>
      <w:szCs w:val="18"/>
    </w:rPr>
  </w:style>
  <w:style w:type="paragraph" w:styleId="6">
    <w:name w:val="footer"/>
    <w:basedOn w:val="1"/>
    <w:link w:val="17"/>
    <w:qFormat/>
    <w:uiPriority w:val="99"/>
    <w:pPr>
      <w:tabs>
        <w:tab w:val="center" w:pos="4153"/>
        <w:tab w:val="right" w:pos="8306"/>
      </w:tabs>
      <w:snapToGrid w:val="0"/>
      <w:jc w:val="left"/>
    </w:pPr>
    <w:rPr>
      <w:sz w:val="18"/>
      <w:szCs w:val="18"/>
    </w:rPr>
  </w:style>
  <w:style w:type="paragraph" w:styleId="7">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8">
    <w:name w:val="Body Text 2"/>
    <w:basedOn w:val="1"/>
    <w:qFormat/>
    <w:uiPriority w:val="0"/>
    <w:pPr>
      <w:jc w:val="center"/>
    </w:pPr>
    <w:rPr>
      <w:rFonts w:ascii="Times New Roman" w:hAnsi="Times New Roman" w:eastAsia="仿宋_GB2312" w:cs="Times New Roman"/>
      <w:b/>
      <w:bCs/>
      <w:color w:val="000000"/>
      <w:sz w:val="44"/>
      <w:szCs w:val="28"/>
    </w:rPr>
  </w:style>
  <w:style w:type="paragraph" w:styleId="9">
    <w:name w:val="annotation subject"/>
    <w:basedOn w:val="4"/>
    <w:next w:val="4"/>
    <w:link w:val="21"/>
    <w:qFormat/>
    <w:uiPriority w:val="0"/>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qFormat/>
    <w:uiPriority w:val="20"/>
    <w:rPr>
      <w:i/>
      <w:iCs/>
    </w:rPr>
  </w:style>
  <w:style w:type="character" w:styleId="14">
    <w:name w:val="Hyperlink"/>
    <w:basedOn w:val="12"/>
    <w:unhideWhenUsed/>
    <w:qFormat/>
    <w:uiPriority w:val="99"/>
    <w:rPr>
      <w:color w:val="0000FF"/>
      <w:u w:val="single"/>
    </w:rPr>
  </w:style>
  <w:style w:type="character" w:styleId="15">
    <w:name w:val="annotation reference"/>
    <w:basedOn w:val="12"/>
    <w:qFormat/>
    <w:uiPriority w:val="0"/>
    <w:rPr>
      <w:sz w:val="21"/>
      <w:szCs w:val="21"/>
    </w:rPr>
  </w:style>
  <w:style w:type="character" w:customStyle="1" w:styleId="16">
    <w:name w:val="页眉 字符"/>
    <w:basedOn w:val="12"/>
    <w:link w:val="7"/>
    <w:qFormat/>
    <w:uiPriority w:val="0"/>
    <w:rPr>
      <w:kern w:val="2"/>
      <w:sz w:val="18"/>
      <w:szCs w:val="18"/>
    </w:rPr>
  </w:style>
  <w:style w:type="character" w:customStyle="1" w:styleId="17">
    <w:name w:val="页脚 字符"/>
    <w:basedOn w:val="12"/>
    <w:link w:val="6"/>
    <w:qFormat/>
    <w:uiPriority w:val="99"/>
    <w:rPr>
      <w:kern w:val="2"/>
      <w:sz w:val="18"/>
      <w:szCs w:val="18"/>
    </w:rPr>
  </w:style>
  <w:style w:type="character" w:customStyle="1" w:styleId="18">
    <w:name w:val="批注框文本 字符"/>
    <w:basedOn w:val="12"/>
    <w:link w:val="5"/>
    <w:qFormat/>
    <w:uiPriority w:val="0"/>
    <w:rPr>
      <w:rFonts w:ascii="宋体" w:eastAsia="宋体"/>
      <w:kern w:val="2"/>
      <w:sz w:val="18"/>
      <w:szCs w:val="18"/>
    </w:rPr>
  </w:style>
  <w:style w:type="character" w:customStyle="1" w:styleId="19">
    <w:name w:val="font31"/>
    <w:basedOn w:val="12"/>
    <w:qFormat/>
    <w:uiPriority w:val="0"/>
    <w:rPr>
      <w:rFonts w:hint="eastAsia" w:ascii="宋体" w:hAnsi="宋体" w:eastAsia="宋体" w:cs="宋体"/>
      <w:color w:val="000000"/>
      <w:sz w:val="20"/>
      <w:szCs w:val="20"/>
      <w:u w:val="none"/>
    </w:rPr>
  </w:style>
  <w:style w:type="character" w:customStyle="1" w:styleId="20">
    <w:name w:val="批注文字 字符"/>
    <w:basedOn w:val="12"/>
    <w:link w:val="4"/>
    <w:qFormat/>
    <w:uiPriority w:val="0"/>
    <w:rPr>
      <w:rFonts w:asciiTheme="minorHAnsi" w:hAnsiTheme="minorHAnsi" w:eastAsiaTheme="minorEastAsia" w:cstheme="minorBidi"/>
      <w:kern w:val="2"/>
      <w:sz w:val="21"/>
      <w:szCs w:val="24"/>
    </w:rPr>
  </w:style>
  <w:style w:type="character" w:customStyle="1" w:styleId="21">
    <w:name w:val="批注主题 字符"/>
    <w:basedOn w:val="20"/>
    <w:link w:val="9"/>
    <w:qFormat/>
    <w:uiPriority w:val="0"/>
    <w:rPr>
      <w:rFonts w:asciiTheme="minorHAnsi" w:hAnsiTheme="minorHAnsi" w:eastAsiaTheme="minorEastAsia" w:cstheme="minorBidi"/>
      <w:b/>
      <w:bCs/>
      <w:kern w:val="2"/>
      <w:sz w:val="21"/>
      <w:szCs w:val="24"/>
    </w:rPr>
  </w:style>
  <w:style w:type="paragraph" w:customStyle="1" w:styleId="22">
    <w:name w:val="修订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23">
    <w:name w:val="NormalCharacter"/>
    <w:qFormat/>
    <w:uiPriority w:val="0"/>
  </w:style>
  <w:style w:type="paragraph" w:styleId="24">
    <w:name w:val="List Paragraph"/>
    <w:basedOn w:val="1"/>
    <w:qFormat/>
    <w:uiPriority w:val="99"/>
    <w:pPr>
      <w:ind w:firstLine="420" w:firstLineChars="200"/>
    </w:pPr>
  </w:style>
  <w:style w:type="character" w:customStyle="1" w:styleId="25">
    <w:name w:val="标题 3 字符"/>
    <w:basedOn w:val="12"/>
    <w:link w:val="3"/>
    <w:qFormat/>
    <w:uiPriority w:val="9"/>
    <w:rPr>
      <w:rFonts w:eastAsia="Times New Roman"/>
      <w:b/>
      <w:bCs/>
      <w:sz w:val="27"/>
      <w:szCs w:val="27"/>
    </w:rPr>
  </w:style>
  <w:style w:type="paragraph" w:customStyle="1" w:styleId="26">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7">
    <w:name w:val="article_|data-hd-lang=zh-cn_ol_ol_li &gt; p Character"/>
    <w:basedOn w:val="12"/>
    <w:qFormat/>
    <w:uiPriority w:val="0"/>
    <w:rPr>
      <w:rFonts w:ascii="宋体" w:hAnsi="宋体" w:eastAsia="宋体" w:cs="宋体"/>
      <w:sz w:val="21"/>
      <w:szCs w:val="21"/>
    </w:rPr>
  </w:style>
  <w:style w:type="character" w:customStyle="1" w:styleId="28">
    <w:name w:val="要点1"/>
    <w:basedOn w:val="12"/>
    <w:qFormat/>
    <w:uiPriority w:val="0"/>
    <w:rPr>
      <w:rFonts w:ascii="黑体" w:hAnsi="黑体" w:eastAsia="黑体" w:cs="黑体"/>
      <w:sz w:val="21"/>
      <w:szCs w:val="21"/>
    </w:rPr>
  </w:style>
  <w:style w:type="paragraph" w:customStyle="1" w:styleId="29">
    <w:name w:val="修订3"/>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Relationships xmlns="http://schemas.openxmlformats.org/package/2006/relationships">
  <Relationship Id="rId1" Target="styles.xml" Type="http://schemas.openxmlformats.org/officeDocument/2006/relationships/styles"/>
  <Relationship Id="rId2" Target="settings.xml" Type="http://schemas.openxmlformats.org/officeDocument/2006/relationships/settings"/>
  <Relationship Id="rId3" Target="footer1.xml" Type="http://schemas.openxmlformats.org/officeDocument/2006/relationships/footer"/>
  <Relationship Id="rId4" Target="theme/theme1.xml" Type="http://schemas.openxmlformats.org/officeDocument/2006/relationships/theme"/>
  <Relationship Id="rId5" Target="fontTable.xml" Type="http://schemas.openxmlformats.org/officeDocument/2006/relationships/fontTable"/>
  <Relationship Id="rComments" Type="http://schemas.openxmlformats.org/officeDocument/2006/relationships/comments" Target="comment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264</Words>
  <Characters>1506</Characters>
  <Lines>12</Lines>
  <Paragraphs>3</Paragraphs>
  <TotalTime>16</TotalTime>
  <ScaleCrop>false</ScaleCrop>
  <LinksUpToDate>false</LinksUpToDate>
  <CharactersWithSpaces>1767</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2025-03-14T10:28:00Z</dcterms:created>
  <dc:creator>yaoyusheng</dc:creator>
  <cp:lastModifiedBy>吴志彬 Benny</cp:lastModifiedBy>
  <cp:lastPrinted>2023-10-31T23:54:00Z</cp:lastPrinted>
  <dcterms:modified xsi:type="dcterms:W3CDTF">2025-10-22T10:52:44Z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824A3338E7D27EA34DB4F4683038960D_43</vt:lpwstr>
  </property>
  <property fmtid="{D5CDD505-2E9C-101B-9397-08002B2CF9AE}" pid="4" name="_readonly">
    <vt:lpwstr/>
  </property>
  <property fmtid="{D5CDD505-2E9C-101B-9397-08002B2CF9AE}" pid="5" name="_change">
    <vt:lpwstr/>
  </property>
  <property fmtid="{D5CDD505-2E9C-101B-9397-08002B2CF9AE}" pid="6" name="_full-control">
    <vt:lpwstr/>
  </property>
  <property fmtid="{D5CDD505-2E9C-101B-9397-08002B2CF9AE}" pid="7" name="sflag">
    <vt:lpwstr>1733209034</vt:lpwstr>
  </property>
  <property fmtid="{D5CDD505-2E9C-101B-9397-08002B2CF9AE}" pid="8" name="KSOTemplateDocerSaveRecord">
    <vt:lpwstr>eyJoZGlkIjoiYmQ3NjQxYmZmN2ZkODIxYWNiNTEzMzQyMTZmNzQ1MmMiLCJ1c2VySWQiOiI1NzcyODk0NTYifQ==</vt:lpwstr>
  </property>
</Properties>
</file>