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05A5C" w14:textId="77777777" w:rsidR="00E7342C" w:rsidRDefault="00E7342C" w:rsidP="00E7342C">
      <w:pPr>
        <w:autoSpaceDE w:val="0"/>
        <w:autoSpaceDN w:val="0"/>
        <w:adjustRightInd w:val="0"/>
        <w:spacing w:after="0" w:line="240" w:lineRule="auto"/>
        <w:jc w:val="center"/>
        <w:rPr>
          <w:rFonts w:eastAsia="Times New Roman" w:cs="Times New Roman"/>
          <w:color w:val="003366"/>
          <w:szCs w:val="24"/>
        </w:rPr>
      </w:pPr>
      <w:r>
        <w:rPr>
          <w:rFonts w:eastAsia="Times New Roman" w:cs="Times New Roman"/>
          <w:smallCaps/>
          <w:color w:val="003366"/>
          <w:spacing w:val="30"/>
          <w:sz w:val="36"/>
          <w:szCs w:val="36"/>
        </w:rPr>
        <w:t>Columbia University</w:t>
      </w:r>
    </w:p>
    <w:p w14:paraId="3F67728F" w14:textId="77777777" w:rsidR="00E7342C" w:rsidRDefault="00E7342C" w:rsidP="00E7342C">
      <w:pPr>
        <w:autoSpaceDE w:val="0"/>
        <w:autoSpaceDN w:val="0"/>
        <w:adjustRightInd w:val="0"/>
        <w:spacing w:after="0" w:line="240" w:lineRule="auto"/>
        <w:jc w:val="center"/>
        <w:rPr>
          <w:rFonts w:eastAsia="Times New Roman" w:cs="Times New Roman"/>
          <w:smallCaps/>
          <w:color w:val="003366"/>
          <w:spacing w:val="20"/>
          <w:sz w:val="20"/>
          <w:szCs w:val="20"/>
        </w:rPr>
      </w:pPr>
      <w:r>
        <w:rPr>
          <w:rFonts w:eastAsia="Times New Roman" w:cs="Times New Roman"/>
          <w:smallCaps/>
          <w:color w:val="003366"/>
          <w:spacing w:val="20"/>
          <w:sz w:val="20"/>
          <w:szCs w:val="20"/>
        </w:rPr>
        <w:t>in the city of new york</w:t>
      </w:r>
    </w:p>
    <w:p w14:paraId="7EA2AA71" w14:textId="77777777" w:rsidR="00E7342C" w:rsidRDefault="00E7342C" w:rsidP="00E7342C">
      <w:pPr>
        <w:autoSpaceDE w:val="0"/>
        <w:autoSpaceDN w:val="0"/>
        <w:adjustRightInd w:val="0"/>
        <w:spacing w:after="0" w:line="240" w:lineRule="auto"/>
        <w:jc w:val="center"/>
        <w:rPr>
          <w:rFonts w:eastAsia="Times New Roman" w:cs="Times New Roman"/>
          <w:smallCaps/>
          <w:color w:val="003366"/>
          <w:spacing w:val="-10"/>
          <w:sz w:val="20"/>
          <w:szCs w:val="20"/>
        </w:rPr>
      </w:pPr>
    </w:p>
    <w:p w14:paraId="4171B0BB" w14:textId="77777777" w:rsidR="00E7342C" w:rsidRDefault="00E7342C" w:rsidP="00E7342C">
      <w:pPr>
        <w:autoSpaceDE w:val="0"/>
        <w:autoSpaceDN w:val="0"/>
        <w:adjustRightInd w:val="0"/>
        <w:spacing w:after="0" w:line="240" w:lineRule="auto"/>
        <w:jc w:val="center"/>
        <w:rPr>
          <w:rFonts w:eastAsia="Times New Roman" w:cs="Times New Roman"/>
          <w:smallCaps/>
          <w:color w:val="003366"/>
          <w:spacing w:val="20"/>
          <w:sz w:val="20"/>
          <w:szCs w:val="20"/>
        </w:rPr>
      </w:pPr>
    </w:p>
    <w:p w14:paraId="4195BD31" w14:textId="77777777" w:rsidR="00A46EC7" w:rsidRPr="00000F20" w:rsidRDefault="00E7342C" w:rsidP="00A46EC7">
      <w:pPr>
        <w:pStyle w:val="NoSpacing"/>
        <w:rPr>
          <w:rFonts w:ascii="Times New Roman" w:hAnsi="Times New Roman" w:cs="Times New Roman"/>
          <w:i/>
          <w:color w:val="1F497D" w:themeColor="text2"/>
          <w:sz w:val="20"/>
          <w:szCs w:val="20"/>
        </w:rPr>
      </w:pPr>
      <w:r w:rsidRPr="00000F20">
        <w:rPr>
          <w:rFonts w:ascii="Times New Roman" w:hAnsi="Times New Roman" w:cs="Times New Roman"/>
          <w:i/>
          <w:color w:val="1F497D" w:themeColor="text2"/>
          <w:sz w:val="20"/>
          <w:szCs w:val="20"/>
        </w:rPr>
        <w:t>Bernard E. Harcourt</w:t>
      </w:r>
      <w:r w:rsidRPr="00000F20">
        <w:rPr>
          <w:rFonts w:ascii="Times New Roman" w:hAnsi="Times New Roman" w:cs="Times New Roman"/>
          <w:i/>
          <w:color w:val="1F497D" w:themeColor="text2"/>
          <w:sz w:val="20"/>
          <w:szCs w:val="20"/>
        </w:rPr>
        <w:tab/>
        <w:t xml:space="preserve">     </w:t>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t xml:space="preserve">  </w:t>
      </w:r>
      <w:r w:rsidR="00A46EC7" w:rsidRPr="00000F20">
        <w:rPr>
          <w:rFonts w:ascii="Times New Roman" w:hAnsi="Times New Roman" w:cs="Times New Roman"/>
          <w:i/>
          <w:color w:val="1F497D" w:themeColor="text2"/>
          <w:sz w:val="20"/>
          <w:szCs w:val="20"/>
        </w:rPr>
        <w:tab/>
        <w:t xml:space="preserve">   212.854.1997</w:t>
      </w:r>
    </w:p>
    <w:p w14:paraId="2887D0AD" w14:textId="417580B1" w:rsidR="00A46EC7" w:rsidRPr="00000F20" w:rsidRDefault="00000F20" w:rsidP="00E7342C">
      <w:pPr>
        <w:pStyle w:val="NoSpacing"/>
        <w:rPr>
          <w:rFonts w:ascii="Times New Roman" w:hAnsi="Times New Roman" w:cs="Times New Roman"/>
          <w:i/>
          <w:color w:val="1F497D" w:themeColor="text2"/>
          <w:sz w:val="20"/>
          <w:szCs w:val="20"/>
        </w:rPr>
      </w:pPr>
      <w:r w:rsidRPr="00000F20">
        <w:rPr>
          <w:rFonts w:ascii="Times New Roman" w:hAnsi="Times New Roman" w:cs="Times New Roman"/>
          <w:i/>
          <w:color w:val="1F497D" w:themeColor="text2"/>
          <w:sz w:val="20"/>
          <w:szCs w:val="20"/>
        </w:rPr>
        <w:t xml:space="preserve">Isidor and Seville </w:t>
      </w:r>
      <w:proofErr w:type="spellStart"/>
      <w:r w:rsidRPr="00000F20">
        <w:rPr>
          <w:rFonts w:ascii="Times New Roman" w:hAnsi="Times New Roman" w:cs="Times New Roman"/>
          <w:i/>
          <w:color w:val="1F497D" w:themeColor="text2"/>
          <w:sz w:val="20"/>
          <w:szCs w:val="20"/>
        </w:rPr>
        <w:t>Sulzbacher</w:t>
      </w:r>
      <w:proofErr w:type="spellEnd"/>
      <w:r w:rsidRPr="00000F20">
        <w:rPr>
          <w:rFonts w:ascii="Times New Roman" w:hAnsi="Times New Roman" w:cs="Times New Roman"/>
          <w:i/>
          <w:color w:val="1F497D" w:themeColor="text2"/>
          <w:sz w:val="20"/>
          <w:szCs w:val="20"/>
        </w:rPr>
        <w:t xml:space="preserve"> Professor of Law</w:t>
      </w:r>
      <w:r w:rsidR="00D40281">
        <w:rPr>
          <w:rFonts w:ascii="Times New Roman" w:hAnsi="Times New Roman" w:cs="Times New Roman"/>
          <w:i/>
          <w:color w:val="1F497D" w:themeColor="text2"/>
          <w:sz w:val="20"/>
          <w:szCs w:val="20"/>
        </w:rPr>
        <w:t xml:space="preserve"> and Professor of Political Science</w:t>
      </w:r>
      <w:r w:rsidR="00A46EC7" w:rsidRPr="00000F20">
        <w:rPr>
          <w:rFonts w:ascii="Times New Roman" w:hAnsi="Times New Roman" w:cs="Times New Roman"/>
          <w:i/>
          <w:color w:val="1F497D" w:themeColor="text2"/>
          <w:sz w:val="20"/>
          <w:szCs w:val="20"/>
        </w:rPr>
        <w:tab/>
      </w:r>
      <w:r>
        <w:rPr>
          <w:rFonts w:ascii="Times New Roman" w:hAnsi="Times New Roman" w:cs="Times New Roman"/>
          <w:i/>
          <w:color w:val="1F497D" w:themeColor="text2"/>
          <w:sz w:val="20"/>
          <w:szCs w:val="20"/>
        </w:rPr>
        <w:t xml:space="preserve"> </w:t>
      </w:r>
      <w:r w:rsidR="00A46EC7" w:rsidRPr="00000F20">
        <w:rPr>
          <w:rFonts w:ascii="Times New Roman" w:hAnsi="Times New Roman" w:cs="Times New Roman"/>
          <w:i/>
          <w:color w:val="1F497D" w:themeColor="text2"/>
          <w:sz w:val="20"/>
          <w:szCs w:val="20"/>
        </w:rPr>
        <w:t>beh2139@columbia.edu</w:t>
      </w:r>
    </w:p>
    <w:p w14:paraId="722AF5D5" w14:textId="0D9CC1D2" w:rsidR="000A0C63" w:rsidRDefault="000A0C63" w:rsidP="00C224ED">
      <w:pPr>
        <w:rPr>
          <w:rFonts w:cs="Times New Roman"/>
          <w:i/>
          <w:sz w:val="20"/>
          <w:szCs w:val="20"/>
        </w:rPr>
      </w:pPr>
    </w:p>
    <w:p w14:paraId="4D205559" w14:textId="75228D86" w:rsidR="00D130AB" w:rsidRDefault="00D130AB" w:rsidP="00D130AB">
      <w:pPr>
        <w:tabs>
          <w:tab w:val="left" w:pos="720"/>
        </w:tabs>
        <w:jc w:val="center"/>
        <w:rPr>
          <w:rFonts w:cs="Times New Roman"/>
          <w:szCs w:val="24"/>
        </w:rPr>
      </w:pPr>
      <w:r>
        <w:rPr>
          <w:rFonts w:cs="Times New Roman"/>
          <w:szCs w:val="24"/>
        </w:rPr>
        <w:t xml:space="preserve">M E M O R A N D U M </w:t>
      </w:r>
    </w:p>
    <w:p w14:paraId="6C9A43A9" w14:textId="77777777" w:rsidR="00D130AB" w:rsidRDefault="00D130AB" w:rsidP="00D130AB">
      <w:pPr>
        <w:tabs>
          <w:tab w:val="left" w:pos="720"/>
        </w:tabs>
        <w:jc w:val="center"/>
        <w:rPr>
          <w:rFonts w:cs="Times New Roman"/>
          <w:szCs w:val="24"/>
        </w:rPr>
      </w:pPr>
    </w:p>
    <w:p w14:paraId="0870D660" w14:textId="06719DCF" w:rsidR="00D130AB" w:rsidRDefault="00D130AB" w:rsidP="00347956">
      <w:pPr>
        <w:tabs>
          <w:tab w:val="left" w:pos="720"/>
        </w:tabs>
        <w:ind w:firstLine="0"/>
        <w:rPr>
          <w:rFonts w:cs="Times New Roman"/>
          <w:szCs w:val="24"/>
        </w:rPr>
      </w:pPr>
      <w:r>
        <w:rPr>
          <w:rFonts w:cs="Times New Roman"/>
          <w:szCs w:val="24"/>
        </w:rPr>
        <w:t xml:space="preserve">TO:  </w:t>
      </w:r>
      <w:r>
        <w:rPr>
          <w:rFonts w:cs="Times New Roman"/>
          <w:szCs w:val="24"/>
        </w:rPr>
        <w:tab/>
      </w:r>
      <w:r>
        <w:rPr>
          <w:rFonts w:cs="Times New Roman"/>
          <w:szCs w:val="24"/>
        </w:rPr>
        <w:tab/>
      </w:r>
      <w:r w:rsidR="001C66D8">
        <w:rPr>
          <w:rFonts w:cs="Times New Roman"/>
          <w:szCs w:val="24"/>
        </w:rPr>
        <w:t>Criminal Law Students</w:t>
      </w:r>
    </w:p>
    <w:p w14:paraId="17E5BF68" w14:textId="1C8273B5" w:rsidR="00D130AB" w:rsidRDefault="00D130AB" w:rsidP="00347956">
      <w:pPr>
        <w:tabs>
          <w:tab w:val="left" w:pos="720"/>
        </w:tabs>
        <w:ind w:firstLine="0"/>
        <w:rPr>
          <w:rFonts w:cs="Times New Roman"/>
          <w:szCs w:val="24"/>
        </w:rPr>
      </w:pPr>
      <w:r>
        <w:rPr>
          <w:rFonts w:cs="Times New Roman"/>
          <w:szCs w:val="24"/>
        </w:rPr>
        <w:t>RE:</w:t>
      </w:r>
      <w:r>
        <w:rPr>
          <w:rFonts w:cs="Times New Roman"/>
          <w:szCs w:val="24"/>
        </w:rPr>
        <w:tab/>
      </w:r>
      <w:r>
        <w:rPr>
          <w:rFonts w:cs="Times New Roman"/>
          <w:szCs w:val="24"/>
        </w:rPr>
        <w:tab/>
      </w:r>
      <w:r w:rsidR="001C66D8">
        <w:rPr>
          <w:rFonts w:cs="Times New Roman"/>
          <w:szCs w:val="24"/>
        </w:rPr>
        <w:t>Crim</w:t>
      </w:r>
      <w:r w:rsidR="00425083">
        <w:rPr>
          <w:rFonts w:cs="Times New Roman"/>
          <w:szCs w:val="24"/>
        </w:rPr>
        <w:t>inal Law Final Exam (Spring 20</w:t>
      </w:r>
      <w:r w:rsidR="00F13896">
        <w:rPr>
          <w:rFonts w:cs="Times New Roman"/>
          <w:szCs w:val="24"/>
        </w:rPr>
        <w:t>2</w:t>
      </w:r>
      <w:r w:rsidR="00806B75">
        <w:rPr>
          <w:rFonts w:cs="Times New Roman"/>
          <w:szCs w:val="24"/>
        </w:rPr>
        <w:t>3</w:t>
      </w:r>
      <w:r w:rsidR="001C66D8">
        <w:rPr>
          <w:rFonts w:cs="Times New Roman"/>
          <w:szCs w:val="24"/>
        </w:rPr>
        <w:t>)</w:t>
      </w:r>
    </w:p>
    <w:p w14:paraId="63ECB9BE" w14:textId="56F40395" w:rsidR="00D130AB" w:rsidRDefault="00D130AB" w:rsidP="00347956">
      <w:pPr>
        <w:tabs>
          <w:tab w:val="left" w:pos="720"/>
        </w:tabs>
        <w:ind w:firstLine="0"/>
        <w:rPr>
          <w:rFonts w:cs="Times New Roman"/>
          <w:szCs w:val="24"/>
        </w:rPr>
      </w:pPr>
      <w:r>
        <w:rPr>
          <w:rFonts w:cs="Times New Roman"/>
          <w:szCs w:val="24"/>
        </w:rPr>
        <w:t>DATE:</w:t>
      </w:r>
      <w:r>
        <w:rPr>
          <w:rFonts w:cs="Times New Roman"/>
          <w:szCs w:val="24"/>
        </w:rPr>
        <w:tab/>
      </w:r>
      <w:r>
        <w:rPr>
          <w:rFonts w:cs="Times New Roman"/>
          <w:szCs w:val="24"/>
        </w:rPr>
        <w:tab/>
      </w:r>
      <w:r w:rsidR="00D40281">
        <w:rPr>
          <w:rFonts w:cs="Times New Roman"/>
          <w:szCs w:val="24"/>
        </w:rPr>
        <w:t>May 1</w:t>
      </w:r>
      <w:r w:rsidR="00E41B85">
        <w:rPr>
          <w:rFonts w:cs="Times New Roman"/>
          <w:szCs w:val="24"/>
        </w:rPr>
        <w:t>7</w:t>
      </w:r>
      <w:r w:rsidR="00D40281">
        <w:rPr>
          <w:rFonts w:cs="Times New Roman"/>
          <w:szCs w:val="24"/>
        </w:rPr>
        <w:t>, 20</w:t>
      </w:r>
      <w:r w:rsidR="002A4FF2">
        <w:rPr>
          <w:rFonts w:cs="Times New Roman"/>
          <w:szCs w:val="24"/>
        </w:rPr>
        <w:t>2</w:t>
      </w:r>
      <w:r w:rsidR="00806B75">
        <w:rPr>
          <w:rFonts w:cs="Times New Roman"/>
          <w:szCs w:val="24"/>
        </w:rPr>
        <w:t>3</w:t>
      </w:r>
    </w:p>
    <w:p w14:paraId="6C771165" w14:textId="77777777" w:rsidR="00D130AB" w:rsidRDefault="00D130AB" w:rsidP="0013539E">
      <w:pPr>
        <w:tabs>
          <w:tab w:val="left" w:pos="720"/>
        </w:tabs>
        <w:rPr>
          <w:rFonts w:cs="Times New Roman"/>
          <w:szCs w:val="24"/>
        </w:rPr>
      </w:pPr>
    </w:p>
    <w:p w14:paraId="74F0360B" w14:textId="5A2E07B0" w:rsidR="00F13896" w:rsidRDefault="00F13896" w:rsidP="00347956">
      <w:pPr>
        <w:pStyle w:val="Heading1"/>
      </w:pPr>
      <w:r w:rsidRPr="00F13896">
        <w:t>Question 1</w:t>
      </w:r>
      <w:r w:rsidR="003860CF">
        <w:t>: The David Wilson Case</w:t>
      </w:r>
    </w:p>
    <w:p w14:paraId="5B7CCCD9" w14:textId="5CBDCAD6" w:rsidR="00E41B85" w:rsidRDefault="00E41B85" w:rsidP="00F13896">
      <w:pPr>
        <w:tabs>
          <w:tab w:val="left" w:pos="720"/>
        </w:tabs>
        <w:rPr>
          <w:rFonts w:cs="Times New Roman"/>
          <w:szCs w:val="24"/>
        </w:rPr>
      </w:pPr>
      <w:r>
        <w:rPr>
          <w:rFonts w:cs="Times New Roman"/>
          <w:szCs w:val="24"/>
        </w:rPr>
        <w:t xml:space="preserve">It is </w:t>
      </w:r>
      <w:proofErr w:type="gramStart"/>
      <w:r>
        <w:rPr>
          <w:rFonts w:cs="Times New Roman"/>
          <w:szCs w:val="24"/>
        </w:rPr>
        <w:t>really important</w:t>
      </w:r>
      <w:proofErr w:type="gramEnd"/>
      <w:r>
        <w:rPr>
          <w:rFonts w:cs="Times New Roman"/>
          <w:szCs w:val="24"/>
        </w:rPr>
        <w:t xml:space="preserve"> here to understand the posture of the case. The prompt does not ask you to say what the prosecutor would charge and the defense would argue, as if this is a new case with new facts and we are at the charging stage. Wilson has been convicted and is in habeas corpus. So the question is what counsel on both sides can argue about the new evidence. Not what charges the prosecutor will bring, but rather what counsel can argue a reasonable juror might have believed based on the new evidence. And the order here is important, the Petitioner goes first because he is effectively the plaintiff. </w:t>
      </w:r>
    </w:p>
    <w:p w14:paraId="0DA834CD" w14:textId="2D3EAFBF" w:rsidR="003860CF" w:rsidRDefault="003860CF" w:rsidP="00347956">
      <w:pPr>
        <w:pStyle w:val="Heading2"/>
        <w:numPr>
          <w:ilvl w:val="0"/>
          <w:numId w:val="18"/>
        </w:numPr>
      </w:pPr>
      <w:r>
        <w:t xml:space="preserve">The </w:t>
      </w:r>
      <w:r w:rsidR="00BB715A">
        <w:t xml:space="preserve">Defense Case: </w:t>
      </w:r>
      <w:r>
        <w:t>Strongest Argument for David Wilson</w:t>
      </w:r>
    </w:p>
    <w:p w14:paraId="7D2DA2FA" w14:textId="017009A5" w:rsidR="00BB715A" w:rsidRPr="00BB715A" w:rsidRDefault="00BB715A" w:rsidP="00BB715A">
      <w:pPr>
        <w:pStyle w:val="Heading3"/>
        <w:numPr>
          <w:ilvl w:val="1"/>
          <w:numId w:val="18"/>
        </w:numPr>
      </w:pPr>
      <w:r>
        <w:t>Criminal liability of David Wilson: Murder MPC 210.2</w:t>
      </w:r>
    </w:p>
    <w:p w14:paraId="3D122804" w14:textId="70A1A95C" w:rsidR="003860CF" w:rsidRDefault="003860CF" w:rsidP="003860CF">
      <w:r>
        <w:t xml:space="preserve">There are certain key facts in the factual statement that can form a </w:t>
      </w:r>
      <w:r w:rsidR="004353D6">
        <w:t xml:space="preserve">type of legal </w:t>
      </w:r>
      <w:r>
        <w:t xml:space="preserve">syllogism as to how best to reduce criminal liability for David Wilson. </w:t>
      </w:r>
      <w:r w:rsidR="00E41B85">
        <w:t xml:space="preserve">Defense counsel should argue that a </w:t>
      </w:r>
      <w:r w:rsidR="00252775">
        <w:t xml:space="preserve">reasonable juror could have believed </w:t>
      </w:r>
      <w:r>
        <w:t>the following:</w:t>
      </w:r>
    </w:p>
    <w:p w14:paraId="08293294" w14:textId="490D343E" w:rsidR="003860CF" w:rsidRDefault="003860CF" w:rsidP="003860CF">
      <w:pPr>
        <w:pStyle w:val="ListParagraph"/>
        <w:numPr>
          <w:ilvl w:val="1"/>
          <w:numId w:val="17"/>
        </w:numPr>
      </w:pPr>
      <w:r>
        <w:t xml:space="preserve">Dewey Walker died </w:t>
      </w:r>
      <w:proofErr w:type="gramStart"/>
      <w:r>
        <w:t>as a result of</w:t>
      </w:r>
      <w:proofErr w:type="gramEnd"/>
      <w:r>
        <w:t xml:space="preserve"> the battery</w:t>
      </w:r>
      <w:r w:rsidR="00C84854">
        <w:t>,</w:t>
      </w:r>
      <w:r>
        <w:t xml:space="preserve"> not the </w:t>
      </w:r>
      <w:r w:rsidR="00C84854">
        <w:t>strangulation</w:t>
      </w:r>
      <w:r>
        <w:t>:</w:t>
      </w:r>
    </w:p>
    <w:p w14:paraId="5AFA7847" w14:textId="544EFD58" w:rsidR="003860CF" w:rsidRDefault="00541792" w:rsidP="00541792">
      <w:pPr>
        <w:pStyle w:val="ListParagraph"/>
        <w:numPr>
          <w:ilvl w:val="2"/>
          <w:numId w:val="17"/>
        </w:numPr>
        <w:spacing w:line="240" w:lineRule="auto"/>
      </w:pPr>
      <w:r>
        <w:lastRenderedPageBreak/>
        <w:t>“</w:t>
      </w:r>
      <w:r w:rsidRPr="00541792">
        <w:t>The pathologist testified that Walker was alive when he received the multiple beatings with the bat.</w:t>
      </w:r>
      <w:r>
        <w:t>”</w:t>
      </w:r>
    </w:p>
    <w:p w14:paraId="17B1D0D6" w14:textId="55429BD3" w:rsidR="00B55B07" w:rsidRDefault="00B55B07" w:rsidP="00541792">
      <w:pPr>
        <w:pStyle w:val="ListParagraph"/>
        <w:numPr>
          <w:ilvl w:val="2"/>
          <w:numId w:val="17"/>
        </w:numPr>
        <w:spacing w:line="240" w:lineRule="auto"/>
      </w:pPr>
      <w:r>
        <w:t xml:space="preserve">Dr. </w:t>
      </w:r>
      <w:proofErr w:type="spellStart"/>
      <w:r>
        <w:t>Enstice</w:t>
      </w:r>
      <w:proofErr w:type="spellEnd"/>
      <w:r>
        <w:t xml:space="preserve">, the medical examiner, found that the cause of death was </w:t>
      </w:r>
      <w:r w:rsidRPr="000B517A">
        <w:t>“multiple traumatic injuries.”</w:t>
      </w:r>
    </w:p>
    <w:p w14:paraId="26DE3316" w14:textId="355A9C59" w:rsidR="000E5066" w:rsidRDefault="000E5066" w:rsidP="00541792">
      <w:pPr>
        <w:pStyle w:val="ListParagraph"/>
        <w:numPr>
          <w:ilvl w:val="2"/>
          <w:numId w:val="17"/>
        </w:numPr>
        <w:spacing w:line="240" w:lineRule="auto"/>
      </w:pPr>
      <w:r>
        <w:t>The medical examiner also said that Mr. Walker did not die from the asphyxiation but from the blunt trauma several hours after the battery.</w:t>
      </w:r>
    </w:p>
    <w:p w14:paraId="1C2BD800" w14:textId="77777777" w:rsidR="00541792" w:rsidRDefault="00541792" w:rsidP="00541792">
      <w:pPr>
        <w:pStyle w:val="ListParagraph"/>
        <w:spacing w:line="240" w:lineRule="auto"/>
        <w:ind w:left="2160" w:firstLine="0"/>
      </w:pPr>
    </w:p>
    <w:p w14:paraId="5E8F7293" w14:textId="48CB9C68" w:rsidR="003860CF" w:rsidRDefault="003860CF" w:rsidP="003860CF">
      <w:pPr>
        <w:pStyle w:val="ListParagraph"/>
        <w:numPr>
          <w:ilvl w:val="1"/>
          <w:numId w:val="17"/>
        </w:numPr>
      </w:pPr>
      <w:r>
        <w:t xml:space="preserve">David Walker did not administer the </w:t>
      </w:r>
      <w:r w:rsidR="00C84854">
        <w:t>beating with the bat</w:t>
      </w:r>
      <w:r>
        <w:t xml:space="preserve"> and maintains he did not cause the victim’s death:</w:t>
      </w:r>
    </w:p>
    <w:p w14:paraId="01C187FF" w14:textId="2C7EB667" w:rsidR="003860CF" w:rsidRDefault="003860CF" w:rsidP="003860CF">
      <w:pPr>
        <w:pStyle w:val="ListParagraph"/>
        <w:numPr>
          <w:ilvl w:val="2"/>
          <w:numId w:val="17"/>
        </w:numPr>
        <w:spacing w:line="240" w:lineRule="auto"/>
      </w:pPr>
      <w:r>
        <w:t xml:space="preserve">In his </w:t>
      </w:r>
      <w:r w:rsidR="00252775">
        <w:t>police interrogation</w:t>
      </w:r>
      <w:r>
        <w:t>, summarized by the court, David says</w:t>
      </w:r>
      <w:r w:rsidR="00252775">
        <w:t xml:space="preserve"> that Dewey Walker was still alive after the strangulation and that he did not kill him by stran</w:t>
      </w:r>
      <w:r w:rsidR="00252775" w:rsidRPr="00252775">
        <w:t>gulation “</w:t>
      </w:r>
      <w:r w:rsidRPr="00252775">
        <w:t>According to Wilson, Walker was still breathing when he left.</w:t>
      </w:r>
      <w:r w:rsidR="00252775" w:rsidRPr="00252775">
        <w:t>”</w:t>
      </w:r>
    </w:p>
    <w:p w14:paraId="69484C1A" w14:textId="3FA3EEBA" w:rsidR="00252775" w:rsidRDefault="00252775" w:rsidP="003860CF">
      <w:pPr>
        <w:pStyle w:val="ListParagraph"/>
        <w:numPr>
          <w:ilvl w:val="2"/>
          <w:numId w:val="17"/>
        </w:numPr>
        <w:spacing w:line="240" w:lineRule="auto"/>
      </w:pPr>
      <w:r>
        <w:t xml:space="preserve">At no time does David Wilson ever say he had an intent to kill. </w:t>
      </w:r>
    </w:p>
    <w:p w14:paraId="21BBCF4B" w14:textId="77777777" w:rsidR="00C84854" w:rsidRDefault="00C84854" w:rsidP="00C84854">
      <w:pPr>
        <w:pStyle w:val="ListParagraph"/>
        <w:spacing w:line="240" w:lineRule="auto"/>
        <w:ind w:left="2160" w:firstLine="0"/>
      </w:pPr>
    </w:p>
    <w:p w14:paraId="60805490" w14:textId="3248B5D7" w:rsidR="003860CF" w:rsidRDefault="00C84854" w:rsidP="00C84854">
      <w:pPr>
        <w:pStyle w:val="ListParagraph"/>
        <w:numPr>
          <w:ilvl w:val="1"/>
          <w:numId w:val="17"/>
        </w:numPr>
        <w:tabs>
          <w:tab w:val="left" w:pos="720"/>
        </w:tabs>
        <w:rPr>
          <w:rFonts w:cs="Times New Roman"/>
          <w:szCs w:val="24"/>
        </w:rPr>
      </w:pPr>
      <w:r>
        <w:rPr>
          <w:rFonts w:cs="Times New Roman"/>
          <w:szCs w:val="24"/>
        </w:rPr>
        <w:t xml:space="preserve">Kittie Corley confessed in her letter to being the one who beat the victim with the bat, disposed of the bat, and pawned the property. She confesses to a major role in the crime, including beating Dewey Walker with the bat, which was the cause of death. </w:t>
      </w:r>
    </w:p>
    <w:p w14:paraId="1D152DBC" w14:textId="23EAC5F4" w:rsidR="00252775" w:rsidRDefault="00252775" w:rsidP="00C84854">
      <w:pPr>
        <w:pStyle w:val="ListParagraph"/>
        <w:numPr>
          <w:ilvl w:val="1"/>
          <w:numId w:val="17"/>
        </w:numPr>
        <w:tabs>
          <w:tab w:val="left" w:pos="720"/>
        </w:tabs>
        <w:rPr>
          <w:rFonts w:cs="Times New Roman"/>
          <w:szCs w:val="24"/>
        </w:rPr>
      </w:pPr>
      <w:r>
        <w:rPr>
          <w:rFonts w:cs="Times New Roman"/>
          <w:szCs w:val="24"/>
        </w:rPr>
        <w:t xml:space="preserve">David Wilson lied to protect Kittie Corley. The inconsistencies in his police interrogation are lies to protect Kittie. </w:t>
      </w:r>
    </w:p>
    <w:p w14:paraId="5A8350FD" w14:textId="37D96A9D" w:rsidR="00C84854" w:rsidRDefault="00C84854" w:rsidP="00C84854">
      <w:r>
        <w:t xml:space="preserve">If this is all true, then David Wilson did not intend to kill Dewey Walker. He does not have the intent necessary for capital murder. </w:t>
      </w:r>
      <w:r w:rsidR="00E41B85">
        <w:t xml:space="preserve">A reasonable juror would not have found that he had intent. </w:t>
      </w:r>
    </w:p>
    <w:p w14:paraId="66F88DE7" w14:textId="500E848C" w:rsidR="004353D6" w:rsidRDefault="004353D6" w:rsidP="00C84854">
      <w:r>
        <w:t xml:space="preserve">But </w:t>
      </w:r>
      <w:r w:rsidR="00E41B85">
        <w:t xml:space="preserve">it is likely that a reasonable juror would find that </w:t>
      </w:r>
      <w:r>
        <w:t xml:space="preserve">he is likely guilty of murder under MPC § 210.2 either under </w:t>
      </w:r>
      <w:r w:rsidR="00947F21">
        <w:t>(1)</w:t>
      </w:r>
      <w:r>
        <w:t xml:space="preserve">(a) for knowingly causing death, since he was present when Corley was beating the victim; or under </w:t>
      </w:r>
      <w:r w:rsidR="00947F21">
        <w:t>(1)</w:t>
      </w:r>
      <w:r>
        <w:t xml:space="preserve">(b) for presumed felony-murder, because the death happened during a burglary and/or robbery. </w:t>
      </w:r>
    </w:p>
    <w:p w14:paraId="402D3EBA" w14:textId="4EF7C0FA" w:rsidR="00213D08" w:rsidRPr="00213D08" w:rsidRDefault="00213D08" w:rsidP="00BB715A">
      <w:pPr>
        <w:pStyle w:val="Heading3"/>
        <w:numPr>
          <w:ilvl w:val="1"/>
          <w:numId w:val="18"/>
        </w:numPr>
      </w:pPr>
      <w:r w:rsidRPr="00213D08">
        <w:t xml:space="preserve">Accomplice liability </w:t>
      </w:r>
      <w:r w:rsidR="00BB715A">
        <w:t xml:space="preserve">to capital murder </w:t>
      </w:r>
      <w:r w:rsidRPr="00213D08">
        <w:t xml:space="preserve">does not apply </w:t>
      </w:r>
      <w:r w:rsidR="00BB715A">
        <w:t>to Wilson</w:t>
      </w:r>
      <w:r w:rsidRPr="00213D08">
        <w:t>:</w:t>
      </w:r>
    </w:p>
    <w:p w14:paraId="6EAA5C4D" w14:textId="53B4A7E9" w:rsidR="00213D08" w:rsidRDefault="00BB715A" w:rsidP="00C84854">
      <w:r>
        <w:t xml:space="preserve">It would be important to add that </w:t>
      </w:r>
      <w:r w:rsidR="00E41B85">
        <w:t xml:space="preserve">a reasonable juror would likely not find that </w:t>
      </w:r>
      <w:r>
        <w:t xml:space="preserve">Wilson would </w:t>
      </w:r>
      <w:r w:rsidR="00E41B85">
        <w:t xml:space="preserve">be responsible </w:t>
      </w:r>
      <w:r>
        <w:t xml:space="preserve">for capital murder as an accomplice. </w:t>
      </w:r>
    </w:p>
    <w:p w14:paraId="6C470297" w14:textId="091FB7BC" w:rsidR="00BB715A" w:rsidRDefault="00BB715A" w:rsidP="00C84854">
      <w:r>
        <w:t>Under MPC 2.06(4) (“</w:t>
      </w:r>
      <w:r w:rsidRPr="00BB715A">
        <w:t xml:space="preserve">When causing a particular result is an element of an offense, an accomplice in the conduct causing such result is an accomplice in the commission of that </w:t>
      </w:r>
      <w:r w:rsidRPr="00BB715A">
        <w:lastRenderedPageBreak/>
        <w:t>offense, if he acts with the kind of culpability, if any, with respect to that result that is sufficient for the commission of the offense</w:t>
      </w:r>
      <w:r>
        <w:t xml:space="preserve">”), Wilson </w:t>
      </w:r>
      <w:r w:rsidR="00E41B85">
        <w:t xml:space="preserve">would have had to have </w:t>
      </w:r>
      <w:r>
        <w:t xml:space="preserve">the necessary </w:t>
      </w:r>
      <w:proofErr w:type="spellStart"/>
      <w:r>
        <w:t>mens</w:t>
      </w:r>
      <w:proofErr w:type="spellEnd"/>
      <w:r>
        <w:t xml:space="preserve"> rea (intent) to be held liable for capital murder</w:t>
      </w:r>
      <w:r w:rsidR="00E41B85">
        <w:t xml:space="preserve"> as an accomplice. A reasonable juror could have found that he did not</w:t>
      </w:r>
      <w:r>
        <w:t xml:space="preserve">. </w:t>
      </w:r>
    </w:p>
    <w:p w14:paraId="6B95801E" w14:textId="7DC1C2D5" w:rsidR="00347956" w:rsidRDefault="00213D08" w:rsidP="00BB715A">
      <w:pPr>
        <w:pStyle w:val="Heading3"/>
        <w:numPr>
          <w:ilvl w:val="1"/>
          <w:numId w:val="18"/>
        </w:numPr>
      </w:pPr>
      <w:r>
        <w:t>Kittie Corley</w:t>
      </w:r>
      <w:r w:rsidR="00BB715A">
        <w:t xml:space="preserve">: </w:t>
      </w:r>
      <w:r>
        <w:t xml:space="preserve">capital murder during a burglary. </w:t>
      </w:r>
    </w:p>
    <w:p w14:paraId="610D7B6E" w14:textId="25B7372D" w:rsidR="00347956" w:rsidRDefault="00BB715A" w:rsidP="00C84854">
      <w:r>
        <w:t xml:space="preserve">On this interpretation of the facts, a reasonable juror could have found that Corley had intent, and therefore she could be </w:t>
      </w:r>
      <w:r w:rsidR="00E41B85">
        <w:t xml:space="preserve">found responsible of </w:t>
      </w:r>
      <w:r>
        <w:t xml:space="preserve">capital murder under the Alabama death penalty statute. </w:t>
      </w:r>
    </w:p>
    <w:p w14:paraId="080ED1A2" w14:textId="77777777" w:rsidR="00BB715A" w:rsidRDefault="00BB715A" w:rsidP="00C84854"/>
    <w:p w14:paraId="656E47E4" w14:textId="77777777" w:rsidR="00C36C1F" w:rsidRDefault="00813DE7" w:rsidP="00347956">
      <w:pPr>
        <w:pStyle w:val="Heading2"/>
        <w:numPr>
          <w:ilvl w:val="0"/>
          <w:numId w:val="18"/>
        </w:numPr>
      </w:pPr>
      <w:r>
        <w:t xml:space="preserve">The Prosecution’s case:  </w:t>
      </w:r>
    </w:p>
    <w:p w14:paraId="1DABEF86" w14:textId="4FE574B4" w:rsidR="00962445" w:rsidRDefault="00962445" w:rsidP="00962445">
      <w:pPr>
        <w:pStyle w:val="Heading3"/>
        <w:numPr>
          <w:ilvl w:val="1"/>
          <w:numId w:val="18"/>
        </w:numPr>
      </w:pPr>
      <w:r>
        <w:t xml:space="preserve">Re. David Wilson </w:t>
      </w:r>
    </w:p>
    <w:p w14:paraId="385F46CD" w14:textId="00CC7AC4" w:rsidR="00C36C1F" w:rsidRDefault="00C36C1F" w:rsidP="00C36C1F">
      <w:r>
        <w:t>Factually, the strongest case for the prosecution would be as follows</w:t>
      </w:r>
      <w:r w:rsidR="00213D08">
        <w:t>. A reasonable juror could have believed that</w:t>
      </w:r>
      <w:r>
        <w:t>:</w:t>
      </w:r>
    </w:p>
    <w:p w14:paraId="628FA1D9" w14:textId="77777777" w:rsidR="00962445" w:rsidRDefault="00B526E5" w:rsidP="00962445">
      <w:pPr>
        <w:pStyle w:val="ListParagraph"/>
        <w:numPr>
          <w:ilvl w:val="0"/>
          <w:numId w:val="19"/>
        </w:numPr>
      </w:pPr>
      <w:r>
        <w:t xml:space="preserve">David Wilson was </w:t>
      </w:r>
      <w:r w:rsidRPr="00252775">
        <w:rPr>
          <w:i/>
          <w:iCs/>
        </w:rPr>
        <w:t>present</w:t>
      </w:r>
      <w:r>
        <w:t xml:space="preserve"> during the beating</w:t>
      </w:r>
      <w:r w:rsidR="00962445">
        <w:t>, at the very least</w:t>
      </w:r>
      <w:r>
        <w:t xml:space="preserve">:  </w:t>
      </w:r>
      <w:r w:rsidR="00C36C1F">
        <w:t xml:space="preserve">Even if you believe Kittie Corley’s confessional letter, </w:t>
      </w:r>
      <w:r w:rsidR="00252775">
        <w:t>and that she beat D</w:t>
      </w:r>
      <w:r w:rsidR="00213D08">
        <w:t xml:space="preserve">ewey Walker, </w:t>
      </w:r>
      <w:r w:rsidR="00C36C1F">
        <w:t xml:space="preserve">then David Wilson was present and right there when she beat Dewey Walker to death. He did not stop her. He would have been present during the entire beating. </w:t>
      </w:r>
    </w:p>
    <w:p w14:paraId="328791A4" w14:textId="7AD3F37A" w:rsidR="00962445" w:rsidRDefault="00962445" w:rsidP="00962445">
      <w:pPr>
        <w:pStyle w:val="ListParagraph"/>
        <w:numPr>
          <w:ilvl w:val="0"/>
          <w:numId w:val="20"/>
        </w:numPr>
      </w:pPr>
      <w:r>
        <w:t xml:space="preserve">Alternatively, that David Wilson is lying and so is Kittie Corley, and that Wilson participated in the beating death. </w:t>
      </w:r>
    </w:p>
    <w:p w14:paraId="02A684A7" w14:textId="0421BFFA" w:rsidR="00C36C1F" w:rsidRPr="00C36C1F" w:rsidRDefault="00962445" w:rsidP="00C36C1F">
      <w:r>
        <w:t xml:space="preserve">On this interpretation of the facts, </w:t>
      </w:r>
      <w:r w:rsidR="00E41B85">
        <w:t xml:space="preserve">a reasonable juror would find </w:t>
      </w:r>
      <w:r>
        <w:t xml:space="preserve">Wilson guilty </w:t>
      </w:r>
      <w:r w:rsidR="00E41B85">
        <w:t xml:space="preserve">of </w:t>
      </w:r>
      <w:r>
        <w:t xml:space="preserve">capital murder. </w:t>
      </w:r>
    </w:p>
    <w:p w14:paraId="0EF03A9D" w14:textId="03979C35" w:rsidR="00C84854" w:rsidRDefault="00813DE7" w:rsidP="00962445">
      <w:pPr>
        <w:pStyle w:val="Heading2"/>
        <w:numPr>
          <w:ilvl w:val="1"/>
          <w:numId w:val="18"/>
        </w:numPr>
      </w:pPr>
      <w:r>
        <w:t xml:space="preserve">Accomplice Liability. </w:t>
      </w:r>
    </w:p>
    <w:p w14:paraId="36A7E8FB" w14:textId="7808CC78" w:rsidR="00C84854" w:rsidRDefault="00962445" w:rsidP="00C84854">
      <w:r>
        <w:t xml:space="preserve">Alternatively, </w:t>
      </w:r>
      <w:r w:rsidR="00E41B85">
        <w:t xml:space="preserve">a reasonable juror could hold </w:t>
      </w:r>
      <w:r>
        <w:t xml:space="preserve">Wilson </w:t>
      </w:r>
      <w:r w:rsidR="00E41B85">
        <w:t xml:space="preserve">responsible for </w:t>
      </w:r>
      <w:r w:rsidR="00C84854">
        <w:t>intentional murder during a burglary through accomplice liability</w:t>
      </w:r>
      <w:r>
        <w:t xml:space="preserve"> under MPC 2.06(4).</w:t>
      </w:r>
      <w:r w:rsidR="00E41B85">
        <w:t xml:space="preserve"> </w:t>
      </w:r>
    </w:p>
    <w:p w14:paraId="61D18B02" w14:textId="00BD5171" w:rsidR="00962445" w:rsidRDefault="00962445" w:rsidP="00962445">
      <w:pPr>
        <w:pStyle w:val="Heading3"/>
        <w:numPr>
          <w:ilvl w:val="1"/>
          <w:numId w:val="18"/>
        </w:numPr>
      </w:pPr>
      <w:r>
        <w:t>Corley Responsibility</w:t>
      </w:r>
    </w:p>
    <w:p w14:paraId="20BAC595" w14:textId="2BD74C97" w:rsidR="00347956" w:rsidRDefault="00962445" w:rsidP="00C84854">
      <w:r>
        <w:t>On this reading as well, Corley would be criminally responsible for capital murder.</w:t>
      </w:r>
    </w:p>
    <w:p w14:paraId="04873265" w14:textId="77777777" w:rsidR="00C84854" w:rsidRDefault="00C84854" w:rsidP="00C84854"/>
    <w:p w14:paraId="43B09006" w14:textId="3686EFD8" w:rsidR="00C84854" w:rsidRPr="00C84854" w:rsidRDefault="00962445" w:rsidP="00962445">
      <w:pPr>
        <w:pStyle w:val="Heading1"/>
        <w:numPr>
          <w:ilvl w:val="0"/>
          <w:numId w:val="18"/>
        </w:numPr>
      </w:pPr>
      <w:r>
        <w:t>How Should the Court Resolve This</w:t>
      </w:r>
      <w:r w:rsidR="00493422">
        <w:t>?</w:t>
      </w:r>
    </w:p>
    <w:p w14:paraId="4FA64461" w14:textId="13A160E8" w:rsidR="00493422" w:rsidRDefault="00493422" w:rsidP="003860CF">
      <w:pPr>
        <w:tabs>
          <w:tab w:val="left" w:pos="720"/>
        </w:tabs>
        <w:rPr>
          <w:rFonts w:cs="Times New Roman"/>
          <w:szCs w:val="24"/>
        </w:rPr>
      </w:pPr>
      <w:r>
        <w:rPr>
          <w:rFonts w:cs="Times New Roman"/>
          <w:szCs w:val="24"/>
        </w:rPr>
        <w:t xml:space="preserve">Well, if a reasonable juror could have found </w:t>
      </w:r>
      <w:r w:rsidR="00E41B85">
        <w:rPr>
          <w:rFonts w:cs="Times New Roman"/>
          <w:szCs w:val="24"/>
        </w:rPr>
        <w:t xml:space="preserve">that </w:t>
      </w:r>
      <w:r>
        <w:rPr>
          <w:rFonts w:cs="Times New Roman"/>
          <w:szCs w:val="24"/>
        </w:rPr>
        <w:t>David</w:t>
      </w:r>
      <w:r w:rsidR="00962445">
        <w:rPr>
          <w:rFonts w:cs="Times New Roman"/>
          <w:szCs w:val="24"/>
        </w:rPr>
        <w:t xml:space="preserve"> Wilson</w:t>
      </w:r>
      <w:r w:rsidR="00E41B85">
        <w:rPr>
          <w:rFonts w:cs="Times New Roman"/>
          <w:szCs w:val="24"/>
        </w:rPr>
        <w:t xml:space="preserve"> was only responsible for murder</w:t>
      </w:r>
      <w:r>
        <w:rPr>
          <w:rFonts w:cs="Times New Roman"/>
          <w:szCs w:val="24"/>
        </w:rPr>
        <w:t>, even if a</w:t>
      </w:r>
      <w:r w:rsidR="00962445">
        <w:rPr>
          <w:rFonts w:cs="Times New Roman"/>
          <w:szCs w:val="24"/>
        </w:rPr>
        <w:t>nother</w:t>
      </w:r>
      <w:r>
        <w:rPr>
          <w:rFonts w:cs="Times New Roman"/>
          <w:szCs w:val="24"/>
        </w:rPr>
        <w:t xml:space="preserve"> reasonable juror could </w:t>
      </w:r>
      <w:r w:rsidR="00962445">
        <w:rPr>
          <w:rFonts w:cs="Times New Roman"/>
          <w:szCs w:val="24"/>
        </w:rPr>
        <w:t xml:space="preserve">have gone the other </w:t>
      </w:r>
      <w:r>
        <w:rPr>
          <w:rFonts w:cs="Times New Roman"/>
          <w:szCs w:val="24"/>
        </w:rPr>
        <w:t xml:space="preserve">way, </w:t>
      </w:r>
      <w:r w:rsidR="00962445">
        <w:rPr>
          <w:rFonts w:cs="Times New Roman"/>
          <w:szCs w:val="24"/>
        </w:rPr>
        <w:t>then Wilson should only have been convicted of murder under the MPC.</w:t>
      </w:r>
      <w:r>
        <w:rPr>
          <w:rFonts w:cs="Times New Roman"/>
          <w:szCs w:val="24"/>
        </w:rPr>
        <w:t xml:space="preserve"> </w:t>
      </w:r>
    </w:p>
    <w:p w14:paraId="1D5CA553" w14:textId="62A949C2" w:rsidR="003860CF" w:rsidRDefault="00962445" w:rsidP="00E41B85">
      <w:pPr>
        <w:pStyle w:val="Heading1"/>
      </w:pPr>
      <w:r>
        <w:t>Regarding the Sentence of Death</w:t>
      </w:r>
    </w:p>
    <w:p w14:paraId="4D69930E" w14:textId="580880E8" w:rsidR="00962445" w:rsidRDefault="00962445" w:rsidP="00962445">
      <w:r>
        <w:t xml:space="preserve">There is no doubt that the Corley letter should be considered mitigating evidence that would have weighed in favor of David Wilson at his sentencing. </w:t>
      </w:r>
      <w:r w:rsidR="00E41B85">
        <w:rPr>
          <w:i/>
          <w:iCs/>
        </w:rPr>
        <w:t xml:space="preserve">See Lockett. </w:t>
      </w:r>
      <w:r>
        <w:t xml:space="preserve">The jury verdict was 10-to-2. This might have tipped another juror. The failure to disclose the Corley letter seems unjust (legally, a </w:t>
      </w:r>
      <w:r>
        <w:rPr>
          <w:i/>
          <w:iCs/>
        </w:rPr>
        <w:t>Brady</w:t>
      </w:r>
      <w:r>
        <w:t xml:space="preserve"> violation); the evidence in the letter would favor Wilson at sentencing. </w:t>
      </w:r>
    </w:p>
    <w:p w14:paraId="157875ED" w14:textId="77777777" w:rsidR="00BB722A" w:rsidRPr="00BB722A" w:rsidRDefault="00BB722A" w:rsidP="00BB722A">
      <w:pPr>
        <w:pStyle w:val="Heading1"/>
      </w:pPr>
    </w:p>
    <w:p w14:paraId="40517045" w14:textId="5585C9E9" w:rsidR="003860CF" w:rsidRDefault="00BB722A" w:rsidP="00BB722A">
      <w:pPr>
        <w:pStyle w:val="Heading1"/>
      </w:pPr>
      <w:r>
        <w:t>NB:</w:t>
      </w:r>
    </w:p>
    <w:p w14:paraId="751B4A8D" w14:textId="0D50BEB4" w:rsidR="00BB722A" w:rsidRDefault="00BB722A" w:rsidP="00BB722A">
      <w:r>
        <w:t>1</w:t>
      </w:r>
      <w:proofErr w:type="gramStart"/>
      <w:r>
        <w:t>/  Self</w:t>
      </w:r>
      <w:proofErr w:type="gramEnd"/>
      <w:r>
        <w:t>-defense does not apply because the defendants provoked the encounter</w:t>
      </w:r>
      <w:r w:rsidR="00D32EDA">
        <w:t xml:space="preserve"> and would have had a duty to retreat. No point discussing this</w:t>
      </w:r>
      <w:r>
        <w:t xml:space="preserve">. </w:t>
      </w:r>
    </w:p>
    <w:p w14:paraId="42E844B7" w14:textId="4637E208" w:rsidR="00E021AF" w:rsidRDefault="00E021AF" w:rsidP="00BB722A">
      <w:r>
        <w:t xml:space="preserve">2/ Because there is an underlying felony, it is felony-murder (murder under MPC) at a minimum, and not manslaughter. </w:t>
      </w:r>
    </w:p>
    <w:p w14:paraId="06E5DDA4" w14:textId="5F1C712C" w:rsidR="00E021AF" w:rsidRDefault="00E021AF" w:rsidP="00BB722A">
      <w:r>
        <w:t xml:space="preserve">3/ This case involves a death, therefore it is a choate crime and </w:t>
      </w:r>
      <w:r w:rsidR="00C33926">
        <w:t>there is no possibility of “attempt” liability.</w:t>
      </w:r>
    </w:p>
    <w:p w14:paraId="50A18C5E" w14:textId="645BFE65" w:rsidR="00C33926" w:rsidRDefault="00C33926" w:rsidP="00BB722A">
      <w:r>
        <w:t xml:space="preserve">4/ Causation is fine to discuss; but there is most likely “but for” causation here (if Wilson had not gone into the home of the victim, the whole thing would likely not have happened) and probably proximate causation because it was foreseeable someone would get hurt. </w:t>
      </w:r>
    </w:p>
    <w:p w14:paraId="3A9EC7D2" w14:textId="0EFFEA6C" w:rsidR="00C43A71" w:rsidRDefault="00C43A71" w:rsidP="00BB722A">
      <w:r>
        <w:t xml:space="preserve">5/ You could, but do not need to, address the </w:t>
      </w:r>
      <w:r>
        <w:rPr>
          <w:i/>
          <w:iCs/>
        </w:rPr>
        <w:t>Brady</w:t>
      </w:r>
      <w:r>
        <w:t xml:space="preserve"> claim and/or frame the response through the lens of the </w:t>
      </w:r>
      <w:r>
        <w:rPr>
          <w:i/>
          <w:iCs/>
        </w:rPr>
        <w:t>Brady</w:t>
      </w:r>
      <w:r>
        <w:t xml:space="preserve"> violation. </w:t>
      </w:r>
    </w:p>
    <w:p w14:paraId="3560213D" w14:textId="62F609CB" w:rsidR="00D0084C" w:rsidRDefault="00D0084C" w:rsidP="00BB722A">
      <w:r>
        <w:lastRenderedPageBreak/>
        <w:t>6/ Under the MPC, there is murder and manslaughter; but there are no degrees of either of those.</w:t>
      </w:r>
    </w:p>
    <w:p w14:paraId="75BD44B8" w14:textId="6482CA96" w:rsidR="00D0084C" w:rsidRPr="00C43A71" w:rsidRDefault="00D0084C" w:rsidP="00BB722A">
      <w:r>
        <w:t xml:space="preserve">7/ There is no plausible argument of extreme emotional disturbance, or heat of passion. </w:t>
      </w:r>
      <w:r w:rsidR="00D32EDA">
        <w:t xml:space="preserve">No point discussing this. </w:t>
      </w:r>
    </w:p>
    <w:p w14:paraId="74CFEED5" w14:textId="77777777" w:rsidR="00BB722A" w:rsidRDefault="00BB722A">
      <w:pPr>
        <w:rPr>
          <w:rFonts w:cs="Times New Roman"/>
          <w:szCs w:val="24"/>
        </w:rPr>
      </w:pPr>
    </w:p>
    <w:p w14:paraId="6E54A538" w14:textId="77777777" w:rsidR="00BB722A" w:rsidRDefault="00BB722A">
      <w:pPr>
        <w:rPr>
          <w:rFonts w:cs="Times New Roman"/>
          <w:szCs w:val="24"/>
        </w:rPr>
      </w:pPr>
    </w:p>
    <w:p w14:paraId="0DAB7DCB" w14:textId="680A4DB9" w:rsidR="00F13896" w:rsidRDefault="00F13896">
      <w:pPr>
        <w:rPr>
          <w:rFonts w:cs="Times New Roman"/>
          <w:szCs w:val="24"/>
        </w:rPr>
      </w:pPr>
      <w:r>
        <w:rPr>
          <w:rFonts w:cs="Times New Roman"/>
          <w:szCs w:val="24"/>
        </w:rPr>
        <w:br w:type="page"/>
      </w:r>
    </w:p>
    <w:p w14:paraId="781E1BEE" w14:textId="65E2CD02" w:rsidR="00F13896" w:rsidRPr="00F13896" w:rsidRDefault="00F13896" w:rsidP="00347956">
      <w:pPr>
        <w:pStyle w:val="Heading1"/>
      </w:pPr>
      <w:r w:rsidRPr="00F13896">
        <w:lastRenderedPageBreak/>
        <w:t>Question 2</w:t>
      </w:r>
      <w:r w:rsidR="00347956">
        <w:t xml:space="preserve">: </w:t>
      </w:r>
    </w:p>
    <w:p w14:paraId="5628F368" w14:textId="77777777" w:rsidR="00F13896" w:rsidRDefault="00F13896" w:rsidP="00F13896">
      <w:pPr>
        <w:tabs>
          <w:tab w:val="left" w:pos="720"/>
        </w:tabs>
        <w:rPr>
          <w:rFonts w:cs="Times New Roman"/>
          <w:szCs w:val="24"/>
        </w:rPr>
      </w:pPr>
    </w:p>
    <w:p w14:paraId="428A9FE8" w14:textId="69E4DC67" w:rsidR="00D32EDA" w:rsidRDefault="00D32EDA" w:rsidP="00F13896">
      <w:pPr>
        <w:tabs>
          <w:tab w:val="left" w:pos="720"/>
        </w:tabs>
        <w:rPr>
          <w:rFonts w:cs="Times New Roman"/>
          <w:szCs w:val="24"/>
        </w:rPr>
      </w:pPr>
      <w:r>
        <w:rPr>
          <w:rFonts w:cs="Times New Roman"/>
          <w:szCs w:val="24"/>
        </w:rPr>
        <w:t>This essay requires a strong thesis and must include discussion of</w:t>
      </w:r>
      <w:r w:rsidRPr="00D32EDA">
        <w:rPr>
          <w:rFonts w:cs="Times New Roman"/>
          <w:szCs w:val="24"/>
        </w:rPr>
        <w:t xml:space="preserve"> at least three legal doctrines and three theoretical readings.</w:t>
      </w:r>
    </w:p>
    <w:p w14:paraId="5C822597" w14:textId="56E60BBC" w:rsidR="00D32EDA" w:rsidRDefault="00E41B85" w:rsidP="00F13896">
      <w:pPr>
        <w:tabs>
          <w:tab w:val="left" w:pos="720"/>
        </w:tabs>
        <w:rPr>
          <w:rFonts w:cs="Times New Roman"/>
          <w:szCs w:val="24"/>
        </w:rPr>
      </w:pPr>
      <w:r>
        <w:rPr>
          <w:rFonts w:cs="Times New Roman"/>
          <w:szCs w:val="24"/>
        </w:rPr>
        <w:t xml:space="preserve">It is helpful to the reader to use headers that link the doctrinal analysis with the theoretical discussion. </w:t>
      </w:r>
    </w:p>
    <w:p w14:paraId="59AE5271" w14:textId="47F5D0D7" w:rsidR="00E41B85" w:rsidRDefault="00E41B85" w:rsidP="00F13896">
      <w:pPr>
        <w:tabs>
          <w:tab w:val="left" w:pos="720"/>
        </w:tabs>
        <w:rPr>
          <w:rFonts w:cs="Times New Roman"/>
          <w:szCs w:val="24"/>
        </w:rPr>
      </w:pPr>
      <w:r>
        <w:rPr>
          <w:rFonts w:cs="Times New Roman"/>
          <w:szCs w:val="24"/>
        </w:rPr>
        <w:t xml:space="preserve">Look over the sample answers, you will see what I mean. </w:t>
      </w:r>
    </w:p>
    <w:p w14:paraId="45631615" w14:textId="77777777" w:rsidR="00806B75" w:rsidRDefault="00806B75" w:rsidP="00F13896">
      <w:pPr>
        <w:tabs>
          <w:tab w:val="left" w:pos="720"/>
        </w:tabs>
        <w:rPr>
          <w:rFonts w:cs="Times New Roman"/>
          <w:szCs w:val="24"/>
        </w:rPr>
      </w:pPr>
    </w:p>
    <w:p w14:paraId="5D0EE80A" w14:textId="77777777" w:rsidR="00806B75" w:rsidRPr="00F13896" w:rsidRDefault="00806B75" w:rsidP="00F13896">
      <w:pPr>
        <w:tabs>
          <w:tab w:val="left" w:pos="720"/>
        </w:tabs>
        <w:rPr>
          <w:rFonts w:cs="Times New Roman"/>
          <w:szCs w:val="24"/>
        </w:rPr>
      </w:pPr>
    </w:p>
    <w:p w14:paraId="7C0EC00F" w14:textId="77777777" w:rsidR="00F13896" w:rsidRPr="00F13896" w:rsidRDefault="00F13896" w:rsidP="00F13896">
      <w:pPr>
        <w:tabs>
          <w:tab w:val="left" w:pos="720"/>
        </w:tabs>
        <w:rPr>
          <w:rFonts w:cs="Times New Roman"/>
          <w:szCs w:val="24"/>
        </w:rPr>
      </w:pPr>
    </w:p>
    <w:p w14:paraId="01801CB4" w14:textId="59462384" w:rsidR="00D130AB" w:rsidRDefault="001C66D8" w:rsidP="00D130AB">
      <w:pPr>
        <w:tabs>
          <w:tab w:val="left" w:pos="720"/>
        </w:tabs>
        <w:rPr>
          <w:rFonts w:cs="Times New Roman"/>
          <w:szCs w:val="24"/>
        </w:rPr>
      </w:pPr>
      <w:r>
        <w:rPr>
          <w:rFonts w:cs="Times New Roman"/>
          <w:szCs w:val="24"/>
        </w:rPr>
        <w:t xml:space="preserve">Have a great summer, warm regards, </w:t>
      </w:r>
      <w:r w:rsidR="00D130AB">
        <w:rPr>
          <w:rFonts w:cs="Times New Roman"/>
          <w:szCs w:val="24"/>
        </w:rPr>
        <w:t xml:space="preserve"> </w:t>
      </w:r>
    </w:p>
    <w:p w14:paraId="062E5686" w14:textId="247FD6DC" w:rsidR="0013539E" w:rsidRPr="0013539E" w:rsidRDefault="00E41B85" w:rsidP="0013539E">
      <w:pPr>
        <w:tabs>
          <w:tab w:val="left" w:pos="720"/>
        </w:tabs>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0013539E" w:rsidRPr="0013539E">
        <w:rPr>
          <w:rFonts w:cs="Times New Roman"/>
          <w:szCs w:val="24"/>
        </w:rPr>
        <w:tab/>
      </w:r>
      <w:r w:rsidR="0013539E" w:rsidRPr="0013539E">
        <w:rPr>
          <w:rFonts w:cs="Times New Roman"/>
          <w:noProof/>
          <w:szCs w:val="24"/>
        </w:rPr>
        <w:drawing>
          <wp:inline distT="0" distB="0" distL="0" distR="0" wp14:anchorId="4956BE02" wp14:editId="1FC42766">
            <wp:extent cx="1998345" cy="423545"/>
            <wp:effectExtent l="0" t="0" r="825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8345" cy="423545"/>
                    </a:xfrm>
                    <a:prstGeom prst="rect">
                      <a:avLst/>
                    </a:prstGeom>
                    <a:noFill/>
                    <a:ln>
                      <a:noFill/>
                    </a:ln>
                  </pic:spPr>
                </pic:pic>
              </a:graphicData>
            </a:graphic>
          </wp:inline>
        </w:drawing>
      </w:r>
    </w:p>
    <w:p w14:paraId="51C447F1" w14:textId="65E5C7EA" w:rsidR="00D130AB" w:rsidRPr="001C66D8" w:rsidRDefault="0013539E" w:rsidP="001C66D8">
      <w:pPr>
        <w:tabs>
          <w:tab w:val="left" w:pos="720"/>
        </w:tabs>
        <w:rPr>
          <w:rFonts w:cs="Times New Roman"/>
          <w:szCs w:val="24"/>
        </w:rPr>
      </w:pPr>
      <w:r w:rsidRPr="0013539E">
        <w:rPr>
          <w:rFonts w:cs="Times New Roman"/>
          <w:szCs w:val="24"/>
        </w:rPr>
        <w:tab/>
      </w:r>
      <w:r w:rsidR="00E41B85">
        <w:rPr>
          <w:rFonts w:cs="Times New Roman"/>
          <w:szCs w:val="24"/>
        </w:rPr>
        <w:tab/>
      </w:r>
      <w:r w:rsidR="00E41B85">
        <w:rPr>
          <w:rFonts w:cs="Times New Roman"/>
          <w:szCs w:val="24"/>
        </w:rPr>
        <w:tab/>
      </w:r>
      <w:r w:rsidR="00E41B85">
        <w:rPr>
          <w:rFonts w:cs="Times New Roman"/>
          <w:szCs w:val="24"/>
        </w:rPr>
        <w:tab/>
      </w:r>
      <w:r w:rsidR="00E41B85">
        <w:rPr>
          <w:rFonts w:cs="Times New Roman"/>
          <w:szCs w:val="24"/>
        </w:rPr>
        <w:tab/>
      </w:r>
      <w:r w:rsidR="00E41B85">
        <w:rPr>
          <w:rFonts w:cs="Times New Roman"/>
          <w:szCs w:val="24"/>
        </w:rPr>
        <w:tab/>
      </w:r>
      <w:r w:rsidRPr="0013539E">
        <w:rPr>
          <w:rFonts w:cs="Times New Roman"/>
          <w:szCs w:val="24"/>
        </w:rPr>
        <w:t xml:space="preserve">Bernard E. Harcourt </w:t>
      </w:r>
    </w:p>
    <w:sectPr w:rsidR="00D130AB" w:rsidRPr="001C66D8" w:rsidSect="00214C15">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DF9EF" w14:textId="77777777" w:rsidR="00CB2636" w:rsidRDefault="00CB2636" w:rsidP="00275DA3">
      <w:pPr>
        <w:spacing w:after="0" w:line="240" w:lineRule="auto"/>
      </w:pPr>
      <w:r>
        <w:separator/>
      </w:r>
    </w:p>
  </w:endnote>
  <w:endnote w:type="continuationSeparator" w:id="0">
    <w:p w14:paraId="64977991" w14:textId="77777777" w:rsidR="00CB2636" w:rsidRDefault="00CB2636" w:rsidP="0027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7BF78" w14:textId="77777777" w:rsidR="00AC2468" w:rsidRDefault="00AC2468" w:rsidP="001C6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094852" w14:textId="77777777" w:rsidR="00AC2468" w:rsidRDefault="00AC24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D7289" w14:textId="77777777" w:rsidR="001C66D8" w:rsidRDefault="001C66D8" w:rsidP="00503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5083">
      <w:rPr>
        <w:rStyle w:val="PageNumber"/>
        <w:noProof/>
      </w:rPr>
      <w:t>2</w:t>
    </w:r>
    <w:r>
      <w:rPr>
        <w:rStyle w:val="PageNumber"/>
      </w:rPr>
      <w:fldChar w:fldCharType="end"/>
    </w:r>
  </w:p>
  <w:p w14:paraId="07F134A6" w14:textId="77777777" w:rsidR="001C66D8" w:rsidRDefault="001C6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331B1" w14:textId="77777777" w:rsidR="00CB2636" w:rsidRDefault="00CB2636" w:rsidP="00275DA3">
      <w:pPr>
        <w:spacing w:after="0" w:line="240" w:lineRule="auto"/>
      </w:pPr>
      <w:r>
        <w:separator/>
      </w:r>
    </w:p>
  </w:footnote>
  <w:footnote w:type="continuationSeparator" w:id="0">
    <w:p w14:paraId="7BCAF955" w14:textId="77777777" w:rsidR="00CB2636" w:rsidRDefault="00CB2636" w:rsidP="0027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33B9"/>
    <w:multiLevelType w:val="hybridMultilevel"/>
    <w:tmpl w:val="0F8CD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408DF"/>
    <w:multiLevelType w:val="hybridMultilevel"/>
    <w:tmpl w:val="BBAE9F28"/>
    <w:lvl w:ilvl="0" w:tplc="5DC0EC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B26904"/>
    <w:multiLevelType w:val="hybridMultilevel"/>
    <w:tmpl w:val="98243A6A"/>
    <w:lvl w:ilvl="0" w:tplc="0A5E08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07EB2"/>
    <w:multiLevelType w:val="hybridMultilevel"/>
    <w:tmpl w:val="951CC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16664A"/>
    <w:multiLevelType w:val="hybridMultilevel"/>
    <w:tmpl w:val="DAFA292A"/>
    <w:lvl w:ilvl="0" w:tplc="0100BC8C">
      <w:start w:val="2"/>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A972CFF"/>
    <w:multiLevelType w:val="hybridMultilevel"/>
    <w:tmpl w:val="62CEF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90EF3"/>
    <w:multiLevelType w:val="hybridMultilevel"/>
    <w:tmpl w:val="129C721A"/>
    <w:lvl w:ilvl="0" w:tplc="484033E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647CCF"/>
    <w:multiLevelType w:val="hybridMultilevel"/>
    <w:tmpl w:val="18689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62903"/>
    <w:multiLevelType w:val="hybridMultilevel"/>
    <w:tmpl w:val="BB4E375A"/>
    <w:lvl w:ilvl="0" w:tplc="69F8B64A">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B760D2"/>
    <w:multiLevelType w:val="hybridMultilevel"/>
    <w:tmpl w:val="D3BEDD00"/>
    <w:lvl w:ilvl="0" w:tplc="AF5E412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802D22"/>
    <w:multiLevelType w:val="hybridMultilevel"/>
    <w:tmpl w:val="00E48C06"/>
    <w:lvl w:ilvl="0" w:tplc="E1E22154">
      <w:start w:val="1"/>
      <w:numFmt w:val="bullet"/>
      <w:lvlText w:val=""/>
      <w:lvlJc w:val="left"/>
      <w:pPr>
        <w:ind w:left="1440" w:hanging="72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2E645B7"/>
    <w:multiLevelType w:val="hybridMultilevel"/>
    <w:tmpl w:val="6C4AC0E6"/>
    <w:lvl w:ilvl="0" w:tplc="69F8B64A">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331708"/>
    <w:multiLevelType w:val="hybridMultilevel"/>
    <w:tmpl w:val="B66CDAC0"/>
    <w:lvl w:ilvl="0" w:tplc="B8C86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D66F0C"/>
    <w:multiLevelType w:val="hybridMultilevel"/>
    <w:tmpl w:val="55E6EA3E"/>
    <w:lvl w:ilvl="0" w:tplc="271A651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6A552A"/>
    <w:multiLevelType w:val="hybridMultilevel"/>
    <w:tmpl w:val="DBE69AF4"/>
    <w:lvl w:ilvl="0" w:tplc="3EF22A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E8B48BE"/>
    <w:multiLevelType w:val="hybridMultilevel"/>
    <w:tmpl w:val="ABE87E72"/>
    <w:lvl w:ilvl="0" w:tplc="D898D7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07E0E5D"/>
    <w:multiLevelType w:val="hybridMultilevel"/>
    <w:tmpl w:val="0A26CD3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2C2B65"/>
    <w:multiLevelType w:val="hybridMultilevel"/>
    <w:tmpl w:val="8AE02162"/>
    <w:lvl w:ilvl="0" w:tplc="77E4D85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17E5B38"/>
    <w:multiLevelType w:val="hybridMultilevel"/>
    <w:tmpl w:val="5F3ABB9A"/>
    <w:lvl w:ilvl="0" w:tplc="5A5AB0FC">
      <w:start w:val="1"/>
      <w:numFmt w:val="lowerRoman"/>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2E2998"/>
    <w:multiLevelType w:val="hybridMultilevel"/>
    <w:tmpl w:val="A88EE19A"/>
    <w:lvl w:ilvl="0" w:tplc="A650D72E">
      <w:start w:val="9"/>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73868957">
    <w:abstractNumId w:val="18"/>
  </w:num>
  <w:num w:numId="2" w16cid:durableId="1906137907">
    <w:abstractNumId w:val="6"/>
  </w:num>
  <w:num w:numId="3" w16cid:durableId="405372787">
    <w:abstractNumId w:val="7"/>
  </w:num>
  <w:num w:numId="4" w16cid:durableId="92896432">
    <w:abstractNumId w:val="10"/>
  </w:num>
  <w:num w:numId="5" w16cid:durableId="111361476">
    <w:abstractNumId w:val="17"/>
  </w:num>
  <w:num w:numId="6" w16cid:durableId="317392017">
    <w:abstractNumId w:val="0"/>
  </w:num>
  <w:num w:numId="7" w16cid:durableId="836311945">
    <w:abstractNumId w:val="8"/>
  </w:num>
  <w:num w:numId="8" w16cid:durableId="408649630">
    <w:abstractNumId w:val="12"/>
  </w:num>
  <w:num w:numId="9" w16cid:durableId="714545060">
    <w:abstractNumId w:val="11"/>
  </w:num>
  <w:num w:numId="10" w16cid:durableId="927428593">
    <w:abstractNumId w:val="3"/>
  </w:num>
  <w:num w:numId="11" w16cid:durableId="554701261">
    <w:abstractNumId w:val="2"/>
  </w:num>
  <w:num w:numId="12" w16cid:durableId="74280439">
    <w:abstractNumId w:val="16"/>
  </w:num>
  <w:num w:numId="13" w16cid:durableId="888612559">
    <w:abstractNumId w:val="14"/>
  </w:num>
  <w:num w:numId="14" w16cid:durableId="1479035964">
    <w:abstractNumId w:val="1"/>
  </w:num>
  <w:num w:numId="15" w16cid:durableId="566765144">
    <w:abstractNumId w:val="15"/>
  </w:num>
  <w:num w:numId="16" w16cid:durableId="1903439120">
    <w:abstractNumId w:val="5"/>
  </w:num>
  <w:num w:numId="17" w16cid:durableId="1203438485">
    <w:abstractNumId w:val="13"/>
  </w:num>
  <w:num w:numId="18" w16cid:durableId="2057002295">
    <w:abstractNumId w:val="9"/>
  </w:num>
  <w:num w:numId="19" w16cid:durableId="1420176578">
    <w:abstractNumId w:val="19"/>
  </w:num>
  <w:num w:numId="20" w16cid:durableId="854922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2C"/>
    <w:rsid w:val="00000F20"/>
    <w:rsid w:val="00025C4D"/>
    <w:rsid w:val="000828E7"/>
    <w:rsid w:val="000A0C63"/>
    <w:rsid w:val="000B464E"/>
    <w:rsid w:val="000E5066"/>
    <w:rsid w:val="000F2E6D"/>
    <w:rsid w:val="00125DEB"/>
    <w:rsid w:val="0013539E"/>
    <w:rsid w:val="0017220B"/>
    <w:rsid w:val="001C66D8"/>
    <w:rsid w:val="00213D08"/>
    <w:rsid w:val="00214C15"/>
    <w:rsid w:val="0023137E"/>
    <w:rsid w:val="00252775"/>
    <w:rsid w:val="00253891"/>
    <w:rsid w:val="002612E6"/>
    <w:rsid w:val="00275DA3"/>
    <w:rsid w:val="002A4FF2"/>
    <w:rsid w:val="002A5B83"/>
    <w:rsid w:val="002B5372"/>
    <w:rsid w:val="002B652F"/>
    <w:rsid w:val="002D24A5"/>
    <w:rsid w:val="00347956"/>
    <w:rsid w:val="00370560"/>
    <w:rsid w:val="003860CF"/>
    <w:rsid w:val="003C20B6"/>
    <w:rsid w:val="003E02D5"/>
    <w:rsid w:val="003E079A"/>
    <w:rsid w:val="004161AE"/>
    <w:rsid w:val="00425083"/>
    <w:rsid w:val="004353D6"/>
    <w:rsid w:val="0044375E"/>
    <w:rsid w:val="004438F8"/>
    <w:rsid w:val="00493422"/>
    <w:rsid w:val="004A3E35"/>
    <w:rsid w:val="004E6EE5"/>
    <w:rsid w:val="00510801"/>
    <w:rsid w:val="00541792"/>
    <w:rsid w:val="0057696B"/>
    <w:rsid w:val="00593E63"/>
    <w:rsid w:val="00636EA3"/>
    <w:rsid w:val="00643577"/>
    <w:rsid w:val="00655674"/>
    <w:rsid w:val="0065738B"/>
    <w:rsid w:val="006A5129"/>
    <w:rsid w:val="006D12BF"/>
    <w:rsid w:val="006D17CE"/>
    <w:rsid w:val="007D3C52"/>
    <w:rsid w:val="00806B75"/>
    <w:rsid w:val="00813DE7"/>
    <w:rsid w:val="00827600"/>
    <w:rsid w:val="00875A45"/>
    <w:rsid w:val="008F19B3"/>
    <w:rsid w:val="0093653E"/>
    <w:rsid w:val="009421BE"/>
    <w:rsid w:val="00947F21"/>
    <w:rsid w:val="009613F7"/>
    <w:rsid w:val="00962445"/>
    <w:rsid w:val="009C3283"/>
    <w:rsid w:val="009E2122"/>
    <w:rsid w:val="00A35916"/>
    <w:rsid w:val="00A46EC7"/>
    <w:rsid w:val="00AC2468"/>
    <w:rsid w:val="00B37DFB"/>
    <w:rsid w:val="00B526E5"/>
    <w:rsid w:val="00B55B07"/>
    <w:rsid w:val="00B8006E"/>
    <w:rsid w:val="00BB715A"/>
    <w:rsid w:val="00BB722A"/>
    <w:rsid w:val="00BC1520"/>
    <w:rsid w:val="00C224ED"/>
    <w:rsid w:val="00C33926"/>
    <w:rsid w:val="00C36C1F"/>
    <w:rsid w:val="00C43A71"/>
    <w:rsid w:val="00C80CB5"/>
    <w:rsid w:val="00C84854"/>
    <w:rsid w:val="00CB2636"/>
    <w:rsid w:val="00CD6C8C"/>
    <w:rsid w:val="00CF0231"/>
    <w:rsid w:val="00D0084C"/>
    <w:rsid w:val="00D0085B"/>
    <w:rsid w:val="00D130AB"/>
    <w:rsid w:val="00D30954"/>
    <w:rsid w:val="00D32EDA"/>
    <w:rsid w:val="00D40281"/>
    <w:rsid w:val="00D640C0"/>
    <w:rsid w:val="00D80CBE"/>
    <w:rsid w:val="00D85F09"/>
    <w:rsid w:val="00D96F9B"/>
    <w:rsid w:val="00DD56E8"/>
    <w:rsid w:val="00E014CD"/>
    <w:rsid w:val="00E021AF"/>
    <w:rsid w:val="00E150BC"/>
    <w:rsid w:val="00E41B85"/>
    <w:rsid w:val="00E7342C"/>
    <w:rsid w:val="00EF32F6"/>
    <w:rsid w:val="00F031A4"/>
    <w:rsid w:val="00F1389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5446B"/>
  <w15:docId w15:val="{E63B1B7B-74D7-5140-BE29-A3A25D1A0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0CF"/>
    <w:pPr>
      <w:spacing w:after="240" w:line="360" w:lineRule="auto"/>
      <w:ind w:firstLine="720"/>
    </w:pPr>
    <w:rPr>
      <w:rFonts w:ascii="Times New Roman" w:hAnsi="Times New Roman"/>
      <w:sz w:val="24"/>
    </w:rPr>
  </w:style>
  <w:style w:type="paragraph" w:styleId="Heading1">
    <w:name w:val="heading 1"/>
    <w:basedOn w:val="Normal"/>
    <w:next w:val="Normal"/>
    <w:link w:val="Heading1Char"/>
    <w:uiPriority w:val="9"/>
    <w:qFormat/>
    <w:rsid w:val="0034795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4795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B715A"/>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342C"/>
    <w:pPr>
      <w:spacing w:after="0" w:line="240" w:lineRule="auto"/>
    </w:pPr>
  </w:style>
  <w:style w:type="paragraph" w:styleId="EndnoteText">
    <w:name w:val="endnote text"/>
    <w:basedOn w:val="Normal"/>
    <w:link w:val="EndnoteTextChar"/>
    <w:uiPriority w:val="99"/>
    <w:unhideWhenUsed/>
    <w:rsid w:val="00275DA3"/>
    <w:pPr>
      <w:spacing w:after="0" w:line="240" w:lineRule="auto"/>
    </w:pPr>
    <w:rPr>
      <w:szCs w:val="24"/>
    </w:rPr>
  </w:style>
  <w:style w:type="character" w:customStyle="1" w:styleId="EndnoteTextChar">
    <w:name w:val="Endnote Text Char"/>
    <w:basedOn w:val="DefaultParagraphFont"/>
    <w:link w:val="EndnoteText"/>
    <w:uiPriority w:val="99"/>
    <w:rsid w:val="00275DA3"/>
    <w:rPr>
      <w:sz w:val="24"/>
      <w:szCs w:val="24"/>
    </w:rPr>
  </w:style>
  <w:style w:type="character" w:styleId="EndnoteReference">
    <w:name w:val="endnote reference"/>
    <w:basedOn w:val="DefaultParagraphFont"/>
    <w:uiPriority w:val="99"/>
    <w:unhideWhenUsed/>
    <w:rsid w:val="00275DA3"/>
    <w:rPr>
      <w:vertAlign w:val="superscript"/>
    </w:rPr>
  </w:style>
  <w:style w:type="paragraph" w:styleId="FootnoteText">
    <w:name w:val="footnote text"/>
    <w:basedOn w:val="Normal"/>
    <w:link w:val="FootnoteTextChar"/>
    <w:uiPriority w:val="99"/>
    <w:unhideWhenUsed/>
    <w:rsid w:val="00275DA3"/>
    <w:pPr>
      <w:spacing w:after="0" w:line="240" w:lineRule="auto"/>
    </w:pPr>
    <w:rPr>
      <w:szCs w:val="24"/>
    </w:rPr>
  </w:style>
  <w:style w:type="character" w:customStyle="1" w:styleId="FootnoteTextChar">
    <w:name w:val="Footnote Text Char"/>
    <w:basedOn w:val="DefaultParagraphFont"/>
    <w:link w:val="FootnoteText"/>
    <w:uiPriority w:val="99"/>
    <w:rsid w:val="00275DA3"/>
    <w:rPr>
      <w:sz w:val="24"/>
      <w:szCs w:val="24"/>
    </w:rPr>
  </w:style>
  <w:style w:type="character" w:styleId="FootnoteReference">
    <w:name w:val="footnote reference"/>
    <w:basedOn w:val="DefaultParagraphFont"/>
    <w:uiPriority w:val="99"/>
    <w:unhideWhenUsed/>
    <w:rsid w:val="00275DA3"/>
    <w:rPr>
      <w:vertAlign w:val="superscript"/>
    </w:rPr>
  </w:style>
  <w:style w:type="paragraph" w:styleId="ListParagraph">
    <w:name w:val="List Paragraph"/>
    <w:basedOn w:val="Normal"/>
    <w:uiPriority w:val="34"/>
    <w:qFormat/>
    <w:rsid w:val="006A5129"/>
    <w:pPr>
      <w:ind w:left="720"/>
      <w:contextualSpacing/>
    </w:pPr>
  </w:style>
  <w:style w:type="paragraph" w:styleId="Footer">
    <w:name w:val="footer"/>
    <w:basedOn w:val="Normal"/>
    <w:link w:val="FooterChar"/>
    <w:uiPriority w:val="99"/>
    <w:unhideWhenUsed/>
    <w:rsid w:val="0023137E"/>
    <w:pPr>
      <w:tabs>
        <w:tab w:val="center" w:pos="4320"/>
        <w:tab w:val="right" w:pos="8640"/>
      </w:tabs>
      <w:spacing w:after="0" w:line="240" w:lineRule="auto"/>
    </w:pPr>
  </w:style>
  <w:style w:type="character" w:customStyle="1" w:styleId="FooterChar">
    <w:name w:val="Footer Char"/>
    <w:basedOn w:val="DefaultParagraphFont"/>
    <w:link w:val="Footer"/>
    <w:uiPriority w:val="99"/>
    <w:rsid w:val="0023137E"/>
  </w:style>
  <w:style w:type="character" w:styleId="PageNumber">
    <w:name w:val="page number"/>
    <w:basedOn w:val="DefaultParagraphFont"/>
    <w:uiPriority w:val="99"/>
    <w:semiHidden/>
    <w:unhideWhenUsed/>
    <w:rsid w:val="0023137E"/>
  </w:style>
  <w:style w:type="paragraph" w:styleId="Header">
    <w:name w:val="header"/>
    <w:basedOn w:val="Normal"/>
    <w:link w:val="HeaderChar"/>
    <w:uiPriority w:val="99"/>
    <w:unhideWhenUsed/>
    <w:rsid w:val="000A0C63"/>
    <w:pPr>
      <w:tabs>
        <w:tab w:val="center" w:pos="4320"/>
        <w:tab w:val="right" w:pos="8640"/>
      </w:tabs>
      <w:spacing w:after="0" w:line="240" w:lineRule="auto"/>
    </w:pPr>
  </w:style>
  <w:style w:type="character" w:customStyle="1" w:styleId="HeaderChar">
    <w:name w:val="Header Char"/>
    <w:basedOn w:val="DefaultParagraphFont"/>
    <w:link w:val="Header"/>
    <w:uiPriority w:val="99"/>
    <w:rsid w:val="000A0C63"/>
  </w:style>
  <w:style w:type="paragraph" w:styleId="BalloonText">
    <w:name w:val="Balloon Text"/>
    <w:basedOn w:val="Normal"/>
    <w:link w:val="BalloonTextChar"/>
    <w:uiPriority w:val="99"/>
    <w:semiHidden/>
    <w:unhideWhenUsed/>
    <w:rsid w:val="0017220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220B"/>
    <w:rPr>
      <w:rFonts w:ascii="Lucida Grande" w:hAnsi="Lucida Grande" w:cs="Lucida Grande"/>
      <w:sz w:val="18"/>
      <w:szCs w:val="18"/>
    </w:rPr>
  </w:style>
  <w:style w:type="character" w:styleId="Hyperlink">
    <w:name w:val="Hyperlink"/>
    <w:basedOn w:val="DefaultParagraphFont"/>
    <w:uiPriority w:val="99"/>
    <w:unhideWhenUsed/>
    <w:rsid w:val="00D130AB"/>
    <w:rPr>
      <w:color w:val="0000FF" w:themeColor="hyperlink"/>
      <w:u w:val="single"/>
    </w:rPr>
  </w:style>
  <w:style w:type="character" w:customStyle="1" w:styleId="Heading1Char">
    <w:name w:val="Heading 1 Char"/>
    <w:basedOn w:val="DefaultParagraphFont"/>
    <w:link w:val="Heading1"/>
    <w:uiPriority w:val="9"/>
    <w:rsid w:val="0034795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4795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B715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25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CLS Users</dc:creator>
  <cp:lastModifiedBy>Bernard Harcourt</cp:lastModifiedBy>
  <cp:revision>12</cp:revision>
  <cp:lastPrinted>2015-05-29T16:14:00Z</cp:lastPrinted>
  <dcterms:created xsi:type="dcterms:W3CDTF">2023-04-23T16:02:00Z</dcterms:created>
  <dcterms:modified xsi:type="dcterms:W3CDTF">2023-05-17T20:01:00Z</dcterms:modified>
</cp:coreProperties>
</file>