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5FFF3" w14:textId="416D4F31" w:rsidR="007623B3" w:rsidRDefault="007623B3" w:rsidP="003F2446">
      <w:pPr>
        <w:rPr>
          <w:lang w:val="en-US"/>
        </w:rPr>
      </w:pPr>
      <w:r>
        <w:rPr>
          <w:lang w:val="en-US"/>
        </w:rPr>
        <w:t>MEMORANDUM</w:t>
      </w:r>
    </w:p>
    <w:p w14:paraId="1983DFEC" w14:textId="73322165" w:rsidR="007623B3" w:rsidRDefault="007623B3" w:rsidP="003F2446">
      <w:pPr>
        <w:rPr>
          <w:lang w:val="en-US"/>
        </w:rPr>
      </w:pPr>
    </w:p>
    <w:p w14:paraId="65381687" w14:textId="4914CE62" w:rsidR="007623B3" w:rsidRDefault="007623B3" w:rsidP="003F2446">
      <w:pPr>
        <w:rPr>
          <w:lang w:val="en-US"/>
        </w:rPr>
      </w:pPr>
      <w:r>
        <w:rPr>
          <w:lang w:val="en-US"/>
        </w:rPr>
        <w:t>FROM:</w:t>
      </w:r>
      <w:r>
        <w:rPr>
          <w:lang w:val="en-US"/>
        </w:rPr>
        <w:tab/>
      </w:r>
      <w:r>
        <w:rPr>
          <w:lang w:val="en-US"/>
        </w:rPr>
        <w:tab/>
        <w:t xml:space="preserve">Bernard E. Harcourt </w:t>
      </w:r>
    </w:p>
    <w:p w14:paraId="3E3E588C" w14:textId="0ACA938A" w:rsidR="007623B3" w:rsidRDefault="007623B3" w:rsidP="003F2446">
      <w:pPr>
        <w:rPr>
          <w:lang w:val="en-US"/>
        </w:rPr>
      </w:pPr>
      <w:r>
        <w:rPr>
          <w:lang w:val="en-US"/>
        </w:rPr>
        <w:t>TO:</w:t>
      </w:r>
      <w:r>
        <w:rPr>
          <w:lang w:val="en-US"/>
        </w:rPr>
        <w:tab/>
      </w:r>
      <w:r>
        <w:rPr>
          <w:lang w:val="en-US"/>
        </w:rPr>
        <w:tab/>
        <w:t>Criminal law students</w:t>
      </w:r>
    </w:p>
    <w:p w14:paraId="188ABBA6" w14:textId="2339B26C" w:rsidR="007623B3" w:rsidRDefault="007623B3" w:rsidP="003F2446">
      <w:pPr>
        <w:rPr>
          <w:lang w:val="en-US"/>
        </w:rPr>
      </w:pPr>
      <w:r>
        <w:rPr>
          <w:lang w:val="en-US"/>
        </w:rPr>
        <w:t>RE:</w:t>
      </w:r>
      <w:r>
        <w:rPr>
          <w:lang w:val="en-US"/>
        </w:rPr>
        <w:tab/>
      </w:r>
      <w:r>
        <w:rPr>
          <w:lang w:val="en-US"/>
        </w:rPr>
        <w:tab/>
      </w:r>
      <w:r w:rsidR="00454D9D">
        <w:rPr>
          <w:lang w:val="en-US"/>
        </w:rPr>
        <w:t xml:space="preserve">Introducing David Wilson </w:t>
      </w:r>
    </w:p>
    <w:p w14:paraId="1C423006" w14:textId="77777777" w:rsidR="007623B3" w:rsidRDefault="007623B3" w:rsidP="003F2446">
      <w:pPr>
        <w:rPr>
          <w:lang w:val="en-US"/>
        </w:rPr>
      </w:pPr>
    </w:p>
    <w:p w14:paraId="4DAD6242" w14:textId="77777777" w:rsidR="00454D9D" w:rsidRPr="003F2446" w:rsidRDefault="00454D9D" w:rsidP="00454D9D">
      <w:pPr>
        <w:rPr>
          <w:lang w:val="en-US"/>
        </w:rPr>
      </w:pPr>
      <w:r w:rsidRPr="003F2446">
        <w:rPr>
          <w:lang w:val="en-US"/>
        </w:rPr>
        <w:t xml:space="preserve">David Wilson has been incarcerated on Alabama’s death row since 2008. His case is currently at the US District Court for the Middle District of Alabama, in Montgomery, in federal habeas corpus. The case was paused for two years, from March 2020 to August 2022 due to the COVID-19 pandemic. It is currently active. David has undiagnosed Asperger’s Syndrome, which is now </w:t>
      </w:r>
      <w:r>
        <w:rPr>
          <w:lang w:val="en-US"/>
        </w:rPr>
        <w:t>called</w:t>
      </w:r>
      <w:r w:rsidRPr="003F2446">
        <w:rPr>
          <w:lang w:val="en-US"/>
        </w:rPr>
        <w:t xml:space="preserve"> by mental health professionals high-functioning autism. At the time of the offense, David was only twenty years old.</w:t>
      </w:r>
    </w:p>
    <w:p w14:paraId="0F9F5259" w14:textId="77777777" w:rsidR="00454D9D" w:rsidRPr="003F2446" w:rsidRDefault="00454D9D" w:rsidP="00454D9D">
      <w:pPr>
        <w:rPr>
          <w:lang w:val="en-US"/>
        </w:rPr>
      </w:pPr>
      <w:r w:rsidRPr="003F2446">
        <w:rPr>
          <w:lang w:val="en-US"/>
        </w:rPr>
        <w:br/>
        <w:t>David was accused of killing Mr. Dewey Walker, the father of one of David’s acquaintances. According to the police</w:t>
      </w:r>
      <w:r>
        <w:rPr>
          <w:lang w:val="en-US"/>
        </w:rPr>
        <w:t xml:space="preserve">, David </w:t>
      </w:r>
      <w:r w:rsidRPr="003F2446">
        <w:rPr>
          <w:lang w:val="en-US"/>
        </w:rPr>
        <w:t xml:space="preserve">was burglarizing Mr. Walker's home </w:t>
      </w:r>
      <w:proofErr w:type="gramStart"/>
      <w:r w:rsidRPr="003F2446">
        <w:rPr>
          <w:lang w:val="en-US"/>
        </w:rPr>
        <w:t xml:space="preserve">in order </w:t>
      </w:r>
      <w:r>
        <w:rPr>
          <w:lang w:val="en-US"/>
        </w:rPr>
        <w:t>to</w:t>
      </w:r>
      <w:proofErr w:type="gramEnd"/>
      <w:r>
        <w:rPr>
          <w:lang w:val="en-US"/>
        </w:rPr>
        <w:t xml:space="preserve"> steal his friend’s van with stereo equipment, when Mr. Walker walked into his home; during the struggle, David </w:t>
      </w:r>
      <w:r w:rsidRPr="003F2446">
        <w:rPr>
          <w:lang w:val="en-US"/>
        </w:rPr>
        <w:t>struck and choked Mr. Walker</w:t>
      </w:r>
      <w:r>
        <w:rPr>
          <w:lang w:val="en-US"/>
        </w:rPr>
        <w:t xml:space="preserve">. </w:t>
      </w:r>
      <w:r w:rsidRPr="003F2446">
        <w:rPr>
          <w:lang w:val="en-US"/>
        </w:rPr>
        <w:t>When David departed from the house, he had checked Mr. Walker’s pulse and believed that Mr. Walker was still alive. Later that day, he returned with co-defendant Kitty Corley, who wanted to see the body. Ms. Corley went to see Mr. Walker’s body alone and out of David’s sight for an amount of time. David was indicted and convicted of two counts of capital murder: Murder during a burglary and murder</w:t>
      </w:r>
      <w:r>
        <w:rPr>
          <w:lang w:val="en-US"/>
        </w:rPr>
        <w:t xml:space="preserve"> </w:t>
      </w:r>
      <w:r w:rsidRPr="003F2446">
        <w:rPr>
          <w:lang w:val="en-US"/>
        </w:rPr>
        <w:t xml:space="preserve">during a robbery. In his federal habeas corpus petition, David raised </w:t>
      </w:r>
      <w:r w:rsidRPr="003F2446">
        <w:rPr>
          <w:i/>
          <w:iCs/>
          <w:lang w:val="en-US"/>
        </w:rPr>
        <w:t>Batson</w:t>
      </w:r>
      <w:r w:rsidRPr="003F2446">
        <w:rPr>
          <w:lang w:val="en-US"/>
        </w:rPr>
        <w:t xml:space="preserve">, ineffective assistance of counsel, prosecutorial misconduct, jury instruction, shackling, and </w:t>
      </w:r>
      <w:r w:rsidRPr="003F2446">
        <w:rPr>
          <w:i/>
          <w:iCs/>
          <w:lang w:val="en-US"/>
        </w:rPr>
        <w:t xml:space="preserve">Ring v. Arizona </w:t>
      </w:r>
      <w:r w:rsidRPr="003F2446">
        <w:rPr>
          <w:lang w:val="en-US"/>
        </w:rPr>
        <w:t xml:space="preserve">issues. It is important to note that David had severely ineffective trial counsel. His lead trial attorney, directly prior, was going through a divorce, underwent heart surgery, </w:t>
      </w:r>
      <w:r>
        <w:rPr>
          <w:lang w:val="en-US"/>
        </w:rPr>
        <w:t>and could hardly see because of cataract surgery.</w:t>
      </w:r>
    </w:p>
    <w:p w14:paraId="6E26E809" w14:textId="77777777" w:rsidR="00454D9D" w:rsidRPr="003F2446" w:rsidRDefault="00454D9D" w:rsidP="00454D9D">
      <w:pPr>
        <w:rPr>
          <w:lang w:val="en-US"/>
        </w:rPr>
      </w:pPr>
    </w:p>
    <w:p w14:paraId="65A09AF3" w14:textId="77777777" w:rsidR="00454D9D" w:rsidRPr="003F2446" w:rsidRDefault="00454D9D" w:rsidP="00454D9D">
      <w:pPr>
        <w:rPr>
          <w:lang w:val="en-US"/>
        </w:rPr>
      </w:pPr>
      <w:r w:rsidRPr="003F2446">
        <w:rPr>
          <w:lang w:val="en-US"/>
        </w:rPr>
        <w:t xml:space="preserve">In the current litigation, the most important claim is an ongoing </w:t>
      </w:r>
      <w:r w:rsidRPr="003F2446">
        <w:rPr>
          <w:i/>
          <w:iCs/>
          <w:lang w:val="en-US"/>
        </w:rPr>
        <w:t xml:space="preserve">Brady </w:t>
      </w:r>
      <w:r w:rsidRPr="003F2446">
        <w:rPr>
          <w:lang w:val="en-US"/>
        </w:rPr>
        <w:t>violation concerning a letter that was written by Kitty Corley while she was in</w:t>
      </w:r>
      <w:r>
        <w:rPr>
          <w:lang w:val="en-US"/>
        </w:rPr>
        <w:t xml:space="preserve"> jail</w:t>
      </w:r>
      <w:r w:rsidRPr="003F2446">
        <w:rPr>
          <w:lang w:val="en-US"/>
        </w:rPr>
        <w:t xml:space="preserve"> prior to David’s trial. In this letter, she allegedly wrote that she had “hit Mr. Walker with a baseball bat until he fell” when she went back to the scene of the crime with David. This is clearly exculpatory evidence that casts David’s responsibility for Mr. Walker’s death into doubt. This letter was later </w:t>
      </w:r>
      <w:proofErr w:type="gramStart"/>
      <w:r w:rsidRPr="003F2446">
        <w:rPr>
          <w:lang w:val="en-US"/>
        </w:rPr>
        <w:t>investigated</w:t>
      </w:r>
      <w:proofErr w:type="gramEnd"/>
      <w:r w:rsidRPr="003F2446">
        <w:rPr>
          <w:lang w:val="en-US"/>
        </w:rPr>
        <w:t xml:space="preserve"> and it was determined by a handwriting expert that it was written by Ms. Corley. </w:t>
      </w:r>
      <w:r>
        <w:rPr>
          <w:lang w:val="en-US"/>
        </w:rPr>
        <w:t>T</w:t>
      </w:r>
      <w:r w:rsidRPr="003F2446">
        <w:rPr>
          <w:lang w:val="en-US"/>
        </w:rPr>
        <w:t xml:space="preserve">he letter and handwriting reports were </w:t>
      </w:r>
      <w:r w:rsidRPr="003F2446">
        <w:rPr>
          <w:i/>
          <w:iCs/>
          <w:lang w:val="en-US"/>
        </w:rPr>
        <w:t xml:space="preserve">never </w:t>
      </w:r>
      <w:r w:rsidRPr="003F2446">
        <w:rPr>
          <w:lang w:val="en-US"/>
        </w:rPr>
        <w:t>turned over to David or any of his attorneys at any point during the trial or ensuring appeals. To this day, David and his legal team do not have access to these two key pieces of exculpatory evidence despite over ten requests from defense counsel at various stages of litigation.</w:t>
      </w:r>
    </w:p>
    <w:p w14:paraId="5D655BE1" w14:textId="77777777" w:rsidR="00454D9D" w:rsidRPr="003F2446" w:rsidRDefault="00454D9D" w:rsidP="00454D9D">
      <w:pPr>
        <w:rPr>
          <w:lang w:val="en-US"/>
        </w:rPr>
      </w:pPr>
    </w:p>
    <w:p w14:paraId="00EFB4E6" w14:textId="17D5D756" w:rsidR="003F2446" w:rsidRPr="003F2446" w:rsidRDefault="00454D9D" w:rsidP="003F2446">
      <w:pPr>
        <w:rPr>
          <w:lang w:val="en-US"/>
        </w:rPr>
      </w:pPr>
      <w:r w:rsidRPr="003F2446">
        <w:rPr>
          <w:lang w:val="en-US"/>
        </w:rPr>
        <w:t xml:space="preserve">In their latest pleading to the court, </w:t>
      </w:r>
      <w:hyperlink r:id="rId7" w:history="1">
        <w:r w:rsidRPr="003F2446">
          <w:rPr>
            <w:rStyle w:val="Hyperlink"/>
            <w:lang w:val="en-US"/>
          </w:rPr>
          <w:t>filed D</w:t>
        </w:r>
        <w:r w:rsidRPr="003F2446">
          <w:rPr>
            <w:rStyle w:val="Hyperlink"/>
            <w:lang w:val="en-US"/>
          </w:rPr>
          <w:t>e</w:t>
        </w:r>
        <w:r w:rsidRPr="003F2446">
          <w:rPr>
            <w:rStyle w:val="Hyperlink"/>
            <w:lang w:val="en-US"/>
          </w:rPr>
          <w:t>cember 19</w:t>
        </w:r>
      </w:hyperlink>
      <w:r w:rsidRPr="003F2446">
        <w:rPr>
          <w:lang w:val="en-US"/>
        </w:rPr>
        <w:t>, 2022, David and his legal team re</w:t>
      </w:r>
      <w:r>
        <w:rPr>
          <w:lang w:val="en-US"/>
        </w:rPr>
        <w:t xml:space="preserve">plied </w:t>
      </w:r>
      <w:r w:rsidRPr="003F2446">
        <w:rPr>
          <w:lang w:val="en-US"/>
        </w:rPr>
        <w:t xml:space="preserve">to the state’s response to David’s renewed motion for disclosure by arguing that the state’s duty to disclosure under </w:t>
      </w:r>
      <w:r w:rsidRPr="003F2446">
        <w:rPr>
          <w:i/>
          <w:iCs/>
          <w:lang w:val="en-US"/>
        </w:rPr>
        <w:t xml:space="preserve">Brady </w:t>
      </w:r>
      <w:r w:rsidRPr="003F2446">
        <w:rPr>
          <w:lang w:val="en-US"/>
        </w:rPr>
        <w:t xml:space="preserve">(concerning evidence available pre-trial) is ongoing to this day. Furthermore, </w:t>
      </w:r>
      <w:r>
        <w:rPr>
          <w:lang w:val="en-US"/>
        </w:rPr>
        <w:t xml:space="preserve">they argue, the </w:t>
      </w:r>
      <w:r w:rsidRPr="003F2446">
        <w:rPr>
          <w:lang w:val="en-US"/>
        </w:rPr>
        <w:t>claim is not procedurally barred because even though it was not raised at trial, there would be cause and prejudice due to ineffective assistance of counsel</w:t>
      </w:r>
      <w:r>
        <w:rPr>
          <w:lang w:val="en-US"/>
        </w:rPr>
        <w:t xml:space="preserve"> to excuse that error</w:t>
      </w:r>
      <w:r w:rsidRPr="003F2446">
        <w:rPr>
          <w:lang w:val="en-US"/>
        </w:rPr>
        <w:t xml:space="preserve">. Finally, David and his team argue that the document would have been admissible at </w:t>
      </w:r>
      <w:proofErr w:type="gramStart"/>
      <w:r w:rsidRPr="003F2446">
        <w:rPr>
          <w:lang w:val="en-US"/>
        </w:rPr>
        <w:t>trial</w:t>
      </w:r>
      <w:proofErr w:type="gramEnd"/>
      <w:r w:rsidRPr="003F2446">
        <w:rPr>
          <w:lang w:val="en-US"/>
        </w:rPr>
        <w:t xml:space="preserve"> and they are entitled to production under the AEDPA standard for discovery.</w:t>
      </w:r>
    </w:p>
    <w:sectPr w:rsidR="003F2446" w:rsidRPr="003F2446">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FBCAA" w14:textId="77777777" w:rsidR="009F6E40" w:rsidRDefault="009F6E40" w:rsidP="00E70EA0">
      <w:r>
        <w:separator/>
      </w:r>
    </w:p>
  </w:endnote>
  <w:endnote w:type="continuationSeparator" w:id="0">
    <w:p w14:paraId="2DD3D821" w14:textId="77777777" w:rsidR="009F6E40" w:rsidRDefault="009F6E40" w:rsidP="00E70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23162468"/>
      <w:docPartObj>
        <w:docPartGallery w:val="Page Numbers (Bottom of Page)"/>
        <w:docPartUnique/>
      </w:docPartObj>
    </w:sdtPr>
    <w:sdtContent>
      <w:p w14:paraId="6DB541CF" w14:textId="72F4BFE4" w:rsidR="00E70EA0" w:rsidRDefault="00E70EA0" w:rsidP="00AB036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CF0D200" w14:textId="77777777" w:rsidR="00E70EA0" w:rsidRDefault="00E70E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85422364"/>
      <w:docPartObj>
        <w:docPartGallery w:val="Page Numbers (Bottom of Page)"/>
        <w:docPartUnique/>
      </w:docPartObj>
    </w:sdtPr>
    <w:sdtContent>
      <w:p w14:paraId="011F9C19" w14:textId="68134544" w:rsidR="00E70EA0" w:rsidRDefault="00E70EA0" w:rsidP="00AB036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61AE712" w14:textId="77777777" w:rsidR="00E70EA0" w:rsidRDefault="00E70E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D98D1" w14:textId="77777777" w:rsidR="009F6E40" w:rsidRDefault="009F6E40" w:rsidP="00E70EA0">
      <w:r>
        <w:separator/>
      </w:r>
    </w:p>
  </w:footnote>
  <w:footnote w:type="continuationSeparator" w:id="0">
    <w:p w14:paraId="0B5B8A64" w14:textId="77777777" w:rsidR="009F6E40" w:rsidRDefault="009F6E40" w:rsidP="00E70E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402E84"/>
    <w:multiLevelType w:val="hybridMultilevel"/>
    <w:tmpl w:val="B590F192"/>
    <w:lvl w:ilvl="0" w:tplc="8DE87B10">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6220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446"/>
    <w:rsid w:val="000A68DF"/>
    <w:rsid w:val="003F2446"/>
    <w:rsid w:val="00454D9D"/>
    <w:rsid w:val="005656E0"/>
    <w:rsid w:val="007623B3"/>
    <w:rsid w:val="009F6E40"/>
    <w:rsid w:val="00B24DAF"/>
    <w:rsid w:val="00E70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400385"/>
  <w15:chartTrackingRefBased/>
  <w15:docId w15:val="{03868882-40EB-234E-BCB6-F3A549CF0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2446"/>
    <w:rPr>
      <w:color w:val="0563C1" w:themeColor="hyperlink"/>
      <w:u w:val="single"/>
    </w:rPr>
  </w:style>
  <w:style w:type="character" w:styleId="UnresolvedMention">
    <w:name w:val="Unresolved Mention"/>
    <w:basedOn w:val="DefaultParagraphFont"/>
    <w:uiPriority w:val="99"/>
    <w:semiHidden/>
    <w:unhideWhenUsed/>
    <w:rsid w:val="003F2446"/>
    <w:rPr>
      <w:color w:val="605E5C"/>
      <w:shd w:val="clear" w:color="auto" w:fill="E1DFDD"/>
    </w:rPr>
  </w:style>
  <w:style w:type="paragraph" w:styleId="ListParagraph">
    <w:name w:val="List Paragraph"/>
    <w:basedOn w:val="Normal"/>
    <w:uiPriority w:val="34"/>
    <w:qFormat/>
    <w:rsid w:val="000A68DF"/>
    <w:pPr>
      <w:ind w:left="720"/>
      <w:contextualSpacing/>
    </w:pPr>
  </w:style>
  <w:style w:type="character" w:styleId="FollowedHyperlink">
    <w:name w:val="FollowedHyperlink"/>
    <w:basedOn w:val="DefaultParagraphFont"/>
    <w:uiPriority w:val="99"/>
    <w:semiHidden/>
    <w:unhideWhenUsed/>
    <w:rsid w:val="005656E0"/>
    <w:rPr>
      <w:color w:val="954F72" w:themeColor="followedHyperlink"/>
      <w:u w:val="single"/>
    </w:rPr>
  </w:style>
  <w:style w:type="paragraph" w:styleId="Footer">
    <w:name w:val="footer"/>
    <w:basedOn w:val="Normal"/>
    <w:link w:val="FooterChar"/>
    <w:uiPriority w:val="99"/>
    <w:unhideWhenUsed/>
    <w:rsid w:val="00E70EA0"/>
    <w:pPr>
      <w:tabs>
        <w:tab w:val="center" w:pos="4680"/>
        <w:tab w:val="right" w:pos="9360"/>
      </w:tabs>
    </w:pPr>
  </w:style>
  <w:style w:type="character" w:customStyle="1" w:styleId="FooterChar">
    <w:name w:val="Footer Char"/>
    <w:basedOn w:val="DefaultParagraphFont"/>
    <w:link w:val="Footer"/>
    <w:uiPriority w:val="99"/>
    <w:rsid w:val="00E70EA0"/>
    <w:rPr>
      <w:lang w:val="fr-FR"/>
    </w:rPr>
  </w:style>
  <w:style w:type="character" w:styleId="PageNumber">
    <w:name w:val="page number"/>
    <w:basedOn w:val="DefaultParagraphFont"/>
    <w:uiPriority w:val="99"/>
    <w:semiHidden/>
    <w:unhideWhenUsed/>
    <w:rsid w:val="00E70E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388369">
      <w:bodyDiv w:val="1"/>
      <w:marLeft w:val="0"/>
      <w:marRight w:val="0"/>
      <w:marTop w:val="0"/>
      <w:marBottom w:val="0"/>
      <w:divBdr>
        <w:top w:val="none" w:sz="0" w:space="0" w:color="auto"/>
        <w:left w:val="none" w:sz="0" w:space="0" w:color="auto"/>
        <w:bottom w:val="none" w:sz="0" w:space="0" w:color="auto"/>
        <w:right w:val="none" w:sz="0" w:space="0" w:color="auto"/>
      </w:divBdr>
    </w:div>
    <w:div w:id="1871334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ccct.law.columbia.edu/sites/default/files/content/Wilson/65%20-%202022.12.19%20PETITIONER%E2%80%99S%20REPLY%20TO%20RESPONDENT%E2%80%99S%20RESPONSE%20TO%20PETITIONER%E2%80%99S%20RENEWED%20MOTION%20FOR%20DISCLOSURE%20OF%20ONGOING%20BRADY%20MATERIAL.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Columbia University</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Harcourt</dc:creator>
  <cp:keywords/>
  <dc:description/>
  <cp:lastModifiedBy>Bernard Harcourt</cp:lastModifiedBy>
  <cp:revision>2</cp:revision>
  <dcterms:created xsi:type="dcterms:W3CDTF">2023-02-10T19:57:00Z</dcterms:created>
  <dcterms:modified xsi:type="dcterms:W3CDTF">2023-02-10T19:57:00Z</dcterms:modified>
</cp:coreProperties>
</file>