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52C91" w14:textId="77777777" w:rsidR="002F1BBD" w:rsidRDefault="00116564">
      <w:pPr>
        <w:spacing w:before="240" w:after="200" w:line="340" w:lineRule="atLeast"/>
        <w:jc w:val="center"/>
        <w:outlineLvl w:val="0"/>
        <w:rPr>
          <w:rFonts w:ascii="Arial" w:hAnsi="Arial" w:cs="Arial"/>
          <w:b/>
          <w:bCs/>
          <w:kern w:val="32"/>
          <w:sz w:val="32"/>
          <w:szCs w:val="32"/>
        </w:rPr>
      </w:pPr>
      <w:r>
        <w:fldChar w:fldCharType="begin"/>
      </w:r>
      <w:r>
        <w:instrText xml:space="preserve"> HYPERLINK "https://plus.lexis.com/api/document?collection=cases&amp;id=urn:contentItem:3RVB-1R10-003B-S02V-00000-00&amp;context=1530671" </w:instrText>
      </w:r>
      <w:r>
        <w:fldChar w:fldCharType="separate"/>
      </w:r>
      <w:r>
        <w:rPr>
          <w:rFonts w:ascii="Arial Unicode MS" w:eastAsia="Arial Unicode MS" w:hAnsi="Arial Unicode MS" w:cs="Arial Unicode MS"/>
          <w:b/>
          <w:bCs/>
          <w:i/>
          <w:color w:val="0077CC"/>
          <w:kern w:val="32"/>
          <w:sz w:val="28"/>
          <w:szCs w:val="32"/>
          <w:u w:val="single"/>
          <w:shd w:val="clear" w:color="auto" w:fill="FFFFFF"/>
        </w:rPr>
        <w:t>United States v. Paramount Pictures, Inc.</w:t>
      </w:r>
      <w:r>
        <w:rPr>
          <w:rFonts w:ascii="Arial Unicode MS" w:eastAsia="Arial Unicode MS" w:hAnsi="Arial Unicode MS" w:cs="Arial Unicode MS"/>
          <w:b/>
          <w:bCs/>
          <w:i/>
          <w:color w:val="0077CC"/>
          <w:kern w:val="32"/>
          <w:sz w:val="28"/>
          <w:szCs w:val="32"/>
          <w:u w:val="single"/>
          <w:shd w:val="clear" w:color="auto" w:fill="FFFFFF"/>
        </w:rPr>
        <w:fldChar w:fldCharType="end"/>
      </w:r>
    </w:p>
    <w:p w14:paraId="2CEB58D8" w14:textId="77777777" w:rsidR="002F1BBD" w:rsidRDefault="00116564">
      <w:pPr>
        <w:spacing w:before="120" w:line="300" w:lineRule="atLeast"/>
        <w:jc w:val="center"/>
      </w:pPr>
      <w:r>
        <w:rPr>
          <w:rFonts w:ascii="Arial Unicode MS" w:eastAsia="Arial Unicode MS" w:hAnsi="Arial Unicode MS" w:cs="Arial Unicode MS"/>
          <w:color w:val="000000"/>
        </w:rPr>
        <w:t>Supreme Court of the United States</w:t>
      </w:r>
    </w:p>
    <w:p w14:paraId="5BBC29B7" w14:textId="77777777" w:rsidR="002F1BBD" w:rsidRDefault="00116564">
      <w:pPr>
        <w:spacing w:before="120" w:line="300" w:lineRule="atLeast"/>
        <w:jc w:val="center"/>
      </w:pPr>
      <w:r>
        <w:rPr>
          <w:rFonts w:ascii="Arial Unicode MS" w:eastAsia="Arial Unicode MS" w:hAnsi="Arial Unicode MS" w:cs="Arial Unicode MS"/>
          <w:color w:val="000000"/>
        </w:rPr>
        <w:t xml:space="preserve">February 9-11, 1948, Argued ; May 3, 1948, Decided </w:t>
      </w:r>
    </w:p>
    <w:p w14:paraId="5C993AC1" w14:textId="77777777" w:rsidR="002F1BBD" w:rsidRDefault="00116564">
      <w:pPr>
        <w:spacing w:before="120" w:line="300" w:lineRule="atLeast"/>
        <w:jc w:val="center"/>
      </w:pPr>
      <w:r>
        <w:rPr>
          <w:rFonts w:ascii="Arial Unicode MS" w:eastAsia="Arial Unicode MS" w:hAnsi="Arial Unicode MS" w:cs="Arial Unicode MS"/>
          <w:color w:val="000000"/>
        </w:rPr>
        <w:t>No. 79</w:t>
      </w:r>
    </w:p>
    <w:p w14:paraId="7D6FDFD1" w14:textId="77777777" w:rsidR="002F1BBD" w:rsidRDefault="002F1BBD">
      <w:pPr>
        <w:spacing w:line="240" w:lineRule="atLeast"/>
        <w:jc w:val="both"/>
      </w:pPr>
    </w:p>
    <w:p w14:paraId="5D670EE5" w14:textId="77777777" w:rsidR="002F1BBD" w:rsidRDefault="00116564">
      <w:pPr>
        <w:keepNext/>
        <w:spacing w:before="240" w:line="340" w:lineRule="atLeast"/>
      </w:pPr>
      <w:bookmarkStart w:id="0" w:name="Reporter"/>
      <w:bookmarkStart w:id="1" w:name="Prior_History"/>
      <w:bookmarkStart w:id="2" w:name="Case_Summary"/>
      <w:bookmarkStart w:id="3" w:name="Overview"/>
      <w:bookmarkStart w:id="4" w:name="Syllabus"/>
      <w:bookmarkEnd w:id="0"/>
      <w:bookmarkEnd w:id="1"/>
      <w:bookmarkEnd w:id="2"/>
      <w:bookmarkEnd w:id="3"/>
      <w:bookmarkEnd w:id="4"/>
      <w:r>
        <w:rPr>
          <w:rFonts w:ascii="Arial Unicode MS" w:eastAsia="Arial Unicode MS" w:hAnsi="Arial Unicode MS" w:cs="Arial Unicode MS"/>
          <w:b/>
          <w:color w:val="000000"/>
          <w:sz w:val="28"/>
        </w:rPr>
        <w:t>Syllabus</w:t>
      </w:r>
    </w:p>
    <w:p w14:paraId="55B34646" w14:textId="77777777" w:rsidR="002F1BBD" w:rsidRDefault="00E82A57">
      <w:pPr>
        <w:spacing w:line="60" w:lineRule="exact"/>
      </w:pPr>
      <w:r>
        <w:pict w14:anchorId="13ACD319">
          <v:line id="_x0000_s2052" alt="" style="position:absolute;z-index:251659264;mso-wrap-edited:f;mso-width-percent:0;mso-height-percent:0;mso-width-percent:0;mso-height-percent:0" from="0,2pt" to="512pt,2pt" strokecolor="#009ddb" strokeweight="2pt">
            <w10:wrap type="topAndBottom"/>
          </v:line>
        </w:pict>
      </w:r>
    </w:p>
    <w:p w14:paraId="599BD886" w14:textId="77777777" w:rsidR="002F1BBD" w:rsidRDefault="002F1BBD"/>
    <w:p w14:paraId="16D80160" w14:textId="7C5CB9DC" w:rsidR="002F1BBD" w:rsidRDefault="00116564" w:rsidP="00FD7479">
      <w:pPr>
        <w:spacing w:before="200" w:line="300" w:lineRule="atLeast"/>
        <w:jc w:val="both"/>
        <w:rPr>
          <w:rFonts w:ascii="Arial Unicode MS" w:eastAsia="Arial Unicode MS" w:hAnsi="Arial Unicode MS" w:cs="Arial Unicode MS"/>
          <w:color w:val="000000"/>
        </w:rPr>
      </w:pPr>
      <w:bookmarkStart w:id="5" w:name="Bookmark_clspara_8"/>
      <w:bookmarkEnd w:id="5"/>
      <w:r>
        <w:rPr>
          <w:rFonts w:ascii="Arial Unicode MS" w:eastAsia="Arial Unicode MS" w:hAnsi="Arial Unicode MS" w:cs="Arial Unicode MS"/>
          <w:color w:val="000000"/>
        </w:rPr>
        <w:t xml:space="preserve"> The United States sued to restrain violations of §§ 1 and 2 of the Sherman Act by</w:t>
      </w:r>
      <w:r>
        <w:rPr>
          <w:rFonts w:ascii="Arial Unicode MS" w:eastAsia="Arial Unicode MS" w:hAnsi="Arial Unicode MS" w:cs="Arial Unicode MS"/>
          <w:b/>
          <w:color w:val="000000"/>
        </w:rPr>
        <w:t> [****2] </w:t>
      </w:r>
      <w:r>
        <w:rPr>
          <w:rFonts w:ascii="Arial Unicode MS" w:eastAsia="Arial Unicode MS" w:hAnsi="Arial Unicode MS" w:cs="Arial Unicode MS"/>
          <w:color w:val="000000"/>
        </w:rPr>
        <w:t xml:space="preserve"> (1) five corporations which produce motion pictures and their respective subsidiaries or affiliates which distribute and exhibit films and own or control theatres, (2) two corporations which produce motion pictures and their subsidiaries which distribute films, and (3) one corporation engaged only in the distribution of motion pictures. The complaint charged that the first group of defendants conspired to and did restrain and monopolize interstate trade in the exhibition of motion pictures in most of the larger cities of the country and that their combination of producing, distributing and exhibiting motion pictures violated §§ 1 and 2 of the Act.  It also charged that all of the defendants, as distributors, conspired to and did restrain and monopolize interstate trade in the distribution and exhibition of films. After a trial, the District Court granted an injunction and other relief.  </w:t>
      </w:r>
      <w:r>
        <w:rPr>
          <w:rFonts w:ascii="Arial Unicode MS" w:eastAsia="Arial Unicode MS" w:hAnsi="Arial Unicode MS" w:cs="Arial Unicode MS"/>
          <w:i/>
          <w:color w:val="000000"/>
        </w:rPr>
        <w:t>Held</w:t>
      </w:r>
      <w:r>
        <w:rPr>
          <w:rFonts w:ascii="Arial Unicode MS" w:eastAsia="Arial Unicode MS" w:hAnsi="Arial Unicode MS" w:cs="Arial Unicode MS"/>
          <w:color w:val="000000"/>
        </w:rPr>
        <w:t>:</w:t>
      </w:r>
    </w:p>
    <w:p w14:paraId="0C5332F9" w14:textId="3D0975B4" w:rsidR="00FD7479" w:rsidRDefault="00FD7479" w:rsidP="00FD7479">
      <w:pPr>
        <w:spacing w:before="200" w:line="300" w:lineRule="atLeast"/>
        <w:jc w:val="both"/>
      </w:pPr>
      <w:r>
        <w:rPr>
          <w:rFonts w:ascii="Arial Unicode MS" w:eastAsia="Arial Unicode MS" w:hAnsi="Arial Unicode MS" w:cs="Arial Unicode MS"/>
          <w:color w:val="000000"/>
        </w:rPr>
        <w:t>. . .</w:t>
      </w:r>
    </w:p>
    <w:p w14:paraId="36D7C0C5" w14:textId="77777777" w:rsidR="002F1BBD" w:rsidRDefault="00116564">
      <w:pPr>
        <w:spacing w:before="200" w:line="300" w:lineRule="atLeast"/>
        <w:jc w:val="both"/>
      </w:pPr>
      <w:bookmarkStart w:id="6" w:name="Bookmark_clspara_22"/>
      <w:bookmarkStart w:id="7" w:name="Bookmark_clspara_45"/>
      <w:bookmarkEnd w:id="6"/>
      <w:bookmarkEnd w:id="7"/>
      <w:r>
        <w:rPr>
          <w:rFonts w:ascii="Arial Unicode MS" w:eastAsia="Arial Unicode MS" w:hAnsi="Arial Unicode MS" w:cs="Arial Unicode MS"/>
          <w:color w:val="000000"/>
        </w:rPr>
        <w:t xml:space="preserve">21. The findings of the District Court on the subjects of monopoly in exhibition and the need for divestiture are set aside as being deficient in the light of the principles stated in this opinion, in </w:t>
      </w:r>
      <w:r>
        <w:rPr>
          <w:rFonts w:ascii="Arial Unicode MS" w:eastAsia="Arial Unicode MS" w:hAnsi="Arial Unicode MS" w:cs="Arial Unicode MS"/>
          <w:i/>
          <w:color w:val="000000"/>
        </w:rPr>
        <w:t>United States</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Griffith, ante</w:t>
      </w:r>
      <w:r>
        <w:rPr>
          <w:rFonts w:ascii="Arial Unicode MS" w:eastAsia="Arial Unicode MS" w:hAnsi="Arial Unicode MS" w:cs="Arial Unicode MS"/>
          <w:color w:val="000000"/>
        </w:rPr>
        <w:t xml:space="preserve">, p. 100, and in </w:t>
      </w:r>
      <w:proofErr w:type="spellStart"/>
      <w:r>
        <w:rPr>
          <w:rFonts w:ascii="Arial Unicode MS" w:eastAsia="Arial Unicode MS" w:hAnsi="Arial Unicode MS" w:cs="Arial Unicode MS"/>
          <w:i/>
          <w:color w:val="000000"/>
        </w:rPr>
        <w:t>Schine</w:t>
      </w:r>
      <w:proofErr w:type="spellEnd"/>
      <w:r>
        <w:rPr>
          <w:rFonts w:ascii="Arial Unicode MS" w:eastAsia="Arial Unicode MS" w:hAnsi="Arial Unicode MS" w:cs="Arial Unicode MS"/>
          <w:i/>
          <w:color w:val="000000"/>
        </w:rPr>
        <w:t xml:space="preserve"> Chain Theatres</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United States, ante</w:t>
      </w:r>
      <w:r>
        <w:rPr>
          <w:rFonts w:ascii="Arial Unicode MS" w:eastAsia="Arial Unicode MS" w:hAnsi="Arial Unicode MS" w:cs="Arial Unicode MS"/>
          <w:color w:val="000000"/>
        </w:rPr>
        <w:t>, p. 110, and because of the elimination from the decree of the provisions for competitive bidding. The injunction against the five major defendants expanding their theatre holdings in any manner is also set aside, in order that the District Court may make an entirely fresh start on these phases of the problems.  Pp. 167-175.</w:t>
      </w:r>
    </w:p>
    <w:p w14:paraId="0E0B130C" w14:textId="77777777" w:rsidR="002F1BBD" w:rsidRDefault="00116564">
      <w:pPr>
        <w:spacing w:before="200" w:line="300" w:lineRule="atLeast"/>
        <w:jc w:val="both"/>
      </w:pPr>
      <w:bookmarkStart w:id="8" w:name="Bookmark_clspara_46"/>
      <w:bookmarkEnd w:id="8"/>
      <w:r>
        <w:rPr>
          <w:rFonts w:ascii="Arial Unicode MS" w:eastAsia="Arial Unicode MS" w:hAnsi="Arial Unicode MS" w:cs="Arial Unicode MS"/>
          <w:color w:val="000000"/>
        </w:rPr>
        <w:t>(a) In determining the need for divestiture,</w:t>
      </w:r>
      <w:r>
        <w:rPr>
          <w:rFonts w:ascii="Arial Unicode MS" w:eastAsia="Arial Unicode MS" w:hAnsi="Arial Unicode MS" w:cs="Arial Unicode MS"/>
          <w:b/>
          <w:color w:val="000000"/>
        </w:rPr>
        <w:t> [****11] </w:t>
      </w:r>
      <w:r>
        <w:rPr>
          <w:rFonts w:ascii="Arial Unicode MS" w:eastAsia="Arial Unicode MS" w:hAnsi="Arial Unicode MS" w:cs="Arial Unicode MS"/>
          <w:color w:val="000000"/>
        </w:rPr>
        <w:t xml:space="preserve"> it is not enough to conclude, as the District Court did, that none of the defendants was organized or has been maintained for the purpose of </w:t>
      </w:r>
      <w:r>
        <w:rPr>
          <w:rFonts w:ascii="Arial Unicode MS" w:eastAsia="Arial Unicode MS" w:hAnsi="Arial Unicode MS" w:cs="Arial Unicode MS"/>
          <w:color w:val="000000"/>
        </w:rPr>
        <w:lastRenderedPageBreak/>
        <w:t>achieving a "national monopoly," nor that the five major defendants through their present theatre holdings "alone" do not and cannot collectively or individually have a monopoly of exhibition. P. 171.</w:t>
      </w:r>
    </w:p>
    <w:p w14:paraId="59E65FCA" w14:textId="77777777" w:rsidR="002F1BBD" w:rsidRDefault="00116564">
      <w:pPr>
        <w:spacing w:before="200" w:line="300" w:lineRule="atLeast"/>
        <w:jc w:val="both"/>
      </w:pPr>
      <w:bookmarkStart w:id="9" w:name="Bookmark_clspara_47"/>
      <w:bookmarkEnd w:id="9"/>
      <w:r>
        <w:rPr>
          <w:rFonts w:ascii="Arial Unicode MS" w:eastAsia="Arial Unicode MS" w:hAnsi="Arial Unicode MS" w:cs="Arial Unicode MS"/>
          <w:color w:val="000000"/>
        </w:rPr>
        <w:t>(b) When the starting point is a conspiracy to effect a monopoly through restraints of trade, it is relevant to determine what the results of the conspiracy were, even if they fell short of monopoly. P. 171.</w:t>
      </w:r>
    </w:p>
    <w:p w14:paraId="75F5BD91" w14:textId="77777777" w:rsidR="002F1BBD" w:rsidRDefault="00116564">
      <w:pPr>
        <w:spacing w:before="200" w:line="300" w:lineRule="atLeast"/>
        <w:jc w:val="both"/>
      </w:pPr>
      <w:bookmarkStart w:id="10" w:name="Bookmark_clspara_48"/>
      <w:bookmarkEnd w:id="10"/>
      <w:r>
        <w:rPr>
          <w:rFonts w:ascii="Arial Unicode MS" w:eastAsia="Arial Unicode MS" w:hAnsi="Arial Unicode MS" w:cs="Arial Unicode MS"/>
          <w:color w:val="000000"/>
        </w:rPr>
        <w:t xml:space="preserve">(c) While a monopoly resulting from the ownership of the only theatre in a town usually does not constitute a violation of the Sherman Act, even such an ownership is vulnerable in a suit under the Sherman Act if the property was acquired, or its strategic position maintained, as a result of practices which constitute unreasonable restraints of trade.  </w:t>
      </w:r>
      <w:r>
        <w:rPr>
          <w:rFonts w:ascii="Arial Unicode MS" w:eastAsia="Arial Unicode MS" w:hAnsi="Arial Unicode MS" w:cs="Arial Unicode MS"/>
          <w:i/>
          <w:color w:val="000000"/>
        </w:rPr>
        <w:t>United States</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Griffith, ante</w:t>
      </w:r>
      <w:r>
        <w:rPr>
          <w:rFonts w:ascii="Arial Unicode MS" w:eastAsia="Arial Unicode MS" w:hAnsi="Arial Unicode MS" w:cs="Arial Unicode MS"/>
          <w:color w:val="000000"/>
        </w:rPr>
        <w:t>, p. 100.  P. 171.</w:t>
      </w:r>
    </w:p>
    <w:p w14:paraId="6F76672C" w14:textId="77777777" w:rsidR="002F1BBD" w:rsidRDefault="00116564">
      <w:pPr>
        <w:spacing w:before="200" w:line="300" w:lineRule="atLeast"/>
        <w:jc w:val="both"/>
      </w:pPr>
      <w:bookmarkStart w:id="11" w:name="Bookmark_clspara_49"/>
      <w:bookmarkEnd w:id="11"/>
      <w:r>
        <w:rPr>
          <w:rFonts w:ascii="Arial Unicode MS" w:eastAsia="Arial Unicode MS" w:hAnsi="Arial Unicode MS" w:cs="Arial Unicode MS"/>
          <w:color w:val="000000"/>
        </w:rPr>
        <w:t xml:space="preserve">(d) The problem of the District Court did not end with enjoining continuance of the unlawful restraints nor with dissolving the combination which launched their conspiracy; its function includes also undoing what the conspiracy achieved. </w:t>
      </w:r>
      <w:r>
        <w:rPr>
          <w:rFonts w:ascii="Arial Unicode MS" w:eastAsia="Arial Unicode MS" w:hAnsi="Arial Unicode MS" w:cs="Arial Unicode MS"/>
          <w:b/>
          <w:color w:val="000000"/>
        </w:rPr>
        <w:t> [****12] </w:t>
      </w:r>
      <w:r>
        <w:rPr>
          <w:rFonts w:ascii="Arial Unicode MS" w:eastAsia="Arial Unicode MS" w:hAnsi="Arial Unicode MS" w:cs="Arial Unicode MS"/>
          <w:color w:val="000000"/>
        </w:rPr>
        <w:t xml:space="preserve"> P. 171.</w:t>
      </w:r>
    </w:p>
    <w:p w14:paraId="2C60FACC" w14:textId="77777777" w:rsidR="002F1BBD" w:rsidRDefault="00116564">
      <w:pPr>
        <w:spacing w:before="200" w:line="300" w:lineRule="atLeast"/>
        <w:jc w:val="both"/>
      </w:pPr>
      <w:bookmarkStart w:id="12" w:name="Bookmark_clspara_50"/>
      <w:bookmarkEnd w:id="12"/>
      <w:r>
        <w:rPr>
          <w:rFonts w:ascii="Arial Unicode MS" w:eastAsia="Arial Unicode MS" w:hAnsi="Arial Unicode MS" w:cs="Arial Unicode MS"/>
          <w:color w:val="000000"/>
        </w:rPr>
        <w:t>(e) The problem under the Sherman Act is not solved merely by measuring monopoly in terms of size or extent of holdings or by concluding that single ownerships were not obtained "for the purpose of achieving a national monopoly." P. 172.</w:t>
      </w:r>
    </w:p>
    <w:p w14:paraId="1F8228AC" w14:textId="77777777" w:rsidR="002F1BBD" w:rsidRDefault="00116564">
      <w:pPr>
        <w:spacing w:before="200" w:line="300" w:lineRule="atLeast"/>
        <w:jc w:val="both"/>
      </w:pPr>
      <w:bookmarkStart w:id="13" w:name="Bookmark_clspara_51"/>
      <w:bookmarkEnd w:id="13"/>
      <w:r>
        <w:rPr>
          <w:rFonts w:ascii="Arial Unicode MS" w:eastAsia="Arial Unicode MS" w:hAnsi="Arial Unicode MS" w:cs="Arial Unicode MS"/>
          <w:color w:val="000000"/>
        </w:rPr>
        <w:t>(f) It is the relationship of the unreasonable restraints of trade to the position of the defendants in the exhibition field (and more particularly in the first-run phase of that business) that is of first importance on the divestiture phase of these cases.  P. 172.</w:t>
      </w:r>
    </w:p>
    <w:p w14:paraId="5F5F09AD" w14:textId="77777777" w:rsidR="002F1BBD" w:rsidRDefault="00116564">
      <w:pPr>
        <w:spacing w:before="200" w:line="300" w:lineRule="atLeast"/>
        <w:jc w:val="both"/>
      </w:pPr>
      <w:bookmarkStart w:id="14" w:name="Bookmark_clspara_52"/>
      <w:bookmarkEnd w:id="14"/>
      <w:r>
        <w:rPr>
          <w:rFonts w:ascii="Arial Unicode MS" w:eastAsia="Arial Unicode MS" w:hAnsi="Arial Unicode MS" w:cs="Arial Unicode MS"/>
          <w:color w:val="000000"/>
        </w:rPr>
        <w:t xml:space="preserve">(g) The fruits of the conspiracy must be denied to the five major defendants, as they were to the independents in </w:t>
      </w:r>
      <w:proofErr w:type="spellStart"/>
      <w:r>
        <w:rPr>
          <w:rFonts w:ascii="Arial Unicode MS" w:eastAsia="Arial Unicode MS" w:hAnsi="Arial Unicode MS" w:cs="Arial Unicode MS"/>
          <w:i/>
          <w:color w:val="000000"/>
        </w:rPr>
        <w:t>Schine</w:t>
      </w:r>
      <w:proofErr w:type="spellEnd"/>
      <w:r>
        <w:rPr>
          <w:rFonts w:ascii="Arial Unicode MS" w:eastAsia="Arial Unicode MS" w:hAnsi="Arial Unicode MS" w:cs="Arial Unicode MS"/>
          <w:i/>
          <w:color w:val="000000"/>
        </w:rPr>
        <w:t xml:space="preserve"> Chain Theatres</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United States, ante</w:t>
      </w:r>
      <w:r>
        <w:rPr>
          <w:rFonts w:ascii="Arial Unicode MS" w:eastAsia="Arial Unicode MS" w:hAnsi="Arial Unicode MS" w:cs="Arial Unicode MS"/>
          <w:color w:val="000000"/>
        </w:rPr>
        <w:t>, p. 110.  P. 172.</w:t>
      </w:r>
    </w:p>
    <w:p w14:paraId="5C031EB8" w14:textId="77777777" w:rsidR="002F1BBD" w:rsidRDefault="00116564">
      <w:pPr>
        <w:spacing w:before="200" w:line="300" w:lineRule="atLeast"/>
        <w:jc w:val="both"/>
      </w:pPr>
      <w:bookmarkStart w:id="15" w:name="Bookmark_clspara_53"/>
      <w:bookmarkEnd w:id="15"/>
      <w:r>
        <w:rPr>
          <w:rFonts w:ascii="Arial Unicode MS" w:eastAsia="Arial Unicode MS" w:hAnsi="Arial Unicode MS" w:cs="Arial Unicode MS"/>
          <w:color w:val="000000"/>
        </w:rPr>
        <w:t>(h) Section 1 of the Sherman Act outlaws unreasonable restraints irrespective of the amount of trade or commerce involved and § 2 condemns monopoly of any appreciable part of trade or commerce.  P. 173.</w:t>
      </w:r>
    </w:p>
    <w:p w14:paraId="7EBE4FC2" w14:textId="77777777" w:rsidR="002F1BBD" w:rsidRDefault="00116564">
      <w:pPr>
        <w:spacing w:before="200" w:line="300" w:lineRule="atLeast"/>
        <w:jc w:val="both"/>
      </w:pPr>
      <w:bookmarkStart w:id="16" w:name="Bookmark_clspara_54"/>
      <w:bookmarkEnd w:id="16"/>
      <w:r>
        <w:rPr>
          <w:rFonts w:ascii="Arial Unicode MS" w:eastAsia="Arial Unicode MS" w:hAnsi="Arial Unicode MS" w:cs="Arial Unicode MS"/>
          <w:color w:val="000000"/>
        </w:rPr>
        <w:t>(</w:t>
      </w:r>
      <w:proofErr w:type="spellStart"/>
      <w:r>
        <w:rPr>
          <w:rFonts w:ascii="Arial Unicode MS" w:eastAsia="Arial Unicode MS" w:hAnsi="Arial Unicode MS" w:cs="Arial Unicode MS"/>
          <w:color w:val="000000"/>
        </w:rPr>
        <w:t>i</w:t>
      </w:r>
      <w:proofErr w:type="spellEnd"/>
      <w:r>
        <w:rPr>
          <w:rFonts w:ascii="Arial Unicode MS" w:eastAsia="Arial Unicode MS" w:hAnsi="Arial Unicode MS" w:cs="Arial Unicode MS"/>
          <w:color w:val="000000"/>
        </w:rPr>
        <w:t>) Specific intent is not a necessary element of a purpose or intent to create a monopoly; the requisite purpose or intent is present if monopoly results as a necessary consequence of what was done.  P. 173.</w:t>
      </w:r>
    </w:p>
    <w:p w14:paraId="6606BA4A" w14:textId="77777777" w:rsidR="002F1BBD" w:rsidRDefault="00116564">
      <w:pPr>
        <w:spacing w:before="200" w:line="300" w:lineRule="atLeast"/>
        <w:jc w:val="both"/>
      </w:pPr>
      <w:bookmarkStart w:id="17" w:name="Bookmark_clspara_55"/>
      <w:bookmarkEnd w:id="17"/>
      <w:r>
        <w:rPr>
          <w:rFonts w:ascii="Arial Unicode MS" w:eastAsia="Arial Unicode MS" w:hAnsi="Arial Unicode MS" w:cs="Arial Unicode MS"/>
          <w:color w:val="000000"/>
        </w:rPr>
        <w:lastRenderedPageBreak/>
        <w:t>(j) Monopoly power, whether lawfully or unlawfully acquired, may violate § 2 of</w:t>
      </w:r>
      <w:r>
        <w:rPr>
          <w:rFonts w:ascii="Arial Unicode MS" w:eastAsia="Arial Unicode MS" w:hAnsi="Arial Unicode MS" w:cs="Arial Unicode MS"/>
          <w:b/>
          <w:color w:val="000000"/>
        </w:rPr>
        <w:t> [****13] </w:t>
      </w:r>
      <w:r>
        <w:rPr>
          <w:rFonts w:ascii="Arial Unicode MS" w:eastAsia="Arial Unicode MS" w:hAnsi="Arial Unicode MS" w:cs="Arial Unicode MS"/>
          <w:color w:val="000000"/>
        </w:rPr>
        <w:t xml:space="preserve"> the Sherman Act though it remains unexercised; the existence of the power to exclude competition when it is desired to do so is itself a violation of § 2, if it is coupled with the purpose or intent to exercise that power.  P. 173.</w:t>
      </w:r>
    </w:p>
    <w:p w14:paraId="2B25899E" w14:textId="77777777" w:rsidR="002F1BBD" w:rsidRDefault="00116564">
      <w:pPr>
        <w:spacing w:before="200" w:line="300" w:lineRule="atLeast"/>
        <w:jc w:val="both"/>
      </w:pPr>
      <w:bookmarkStart w:id="18" w:name="Bookmark_clspara_56"/>
      <w:bookmarkEnd w:id="18"/>
      <w:r>
        <w:rPr>
          <w:rFonts w:ascii="Arial Unicode MS" w:eastAsia="Arial Unicode MS" w:hAnsi="Arial Unicode MS" w:cs="Arial Unicode MS"/>
          <w:color w:val="000000"/>
        </w:rPr>
        <w:t>(k) The setting aside of the provision of the decree enjoining the five major defendants from further expanding their theatre holdings is not to be taken as intimating in any way that the District Court erred in including this prohibition.  P. 175.</w:t>
      </w:r>
    </w:p>
    <w:p w14:paraId="5A1D38FB" w14:textId="77777777" w:rsidR="002F1BBD" w:rsidRDefault="00116564">
      <w:pPr>
        <w:spacing w:before="200" w:line="300" w:lineRule="atLeast"/>
        <w:jc w:val="both"/>
      </w:pPr>
      <w:bookmarkStart w:id="19" w:name="Bookmark_clspara_57"/>
      <w:bookmarkEnd w:id="19"/>
      <w:r>
        <w:rPr>
          <w:rFonts w:ascii="Arial Unicode MS" w:eastAsia="Arial Unicode MS" w:hAnsi="Arial Unicode MS" w:cs="Arial Unicode MS"/>
          <w:color w:val="000000"/>
        </w:rPr>
        <w:t xml:space="preserve">22. Vertical integration of producing, distributing and exhibiting motion pictures is not illegal </w:t>
      </w:r>
      <w:r>
        <w:rPr>
          <w:rFonts w:ascii="Arial Unicode MS" w:eastAsia="Arial Unicode MS" w:hAnsi="Arial Unicode MS" w:cs="Arial Unicode MS"/>
          <w:i/>
          <w:color w:val="000000"/>
        </w:rPr>
        <w:t>per se</w:t>
      </w:r>
      <w:r>
        <w:rPr>
          <w:rFonts w:ascii="Arial Unicode MS" w:eastAsia="Arial Unicode MS" w:hAnsi="Arial Unicode MS" w:cs="Arial Unicode MS"/>
          <w:color w:val="000000"/>
        </w:rPr>
        <w:t>; its legality depends upon (1) the purpose or intent with which it was conceived or (2) the power it creates and the attendant purpose or intent.  Pp. 173-174.</w:t>
      </w:r>
    </w:p>
    <w:p w14:paraId="2E1FD312" w14:textId="77777777" w:rsidR="002F1BBD" w:rsidRDefault="00116564">
      <w:pPr>
        <w:spacing w:before="200" w:line="300" w:lineRule="atLeast"/>
        <w:jc w:val="both"/>
      </w:pPr>
      <w:bookmarkStart w:id="20" w:name="Bookmark_clspara_58"/>
      <w:bookmarkEnd w:id="20"/>
      <w:r>
        <w:rPr>
          <w:rFonts w:ascii="Arial Unicode MS" w:eastAsia="Arial Unicode MS" w:hAnsi="Arial Unicode MS" w:cs="Arial Unicode MS"/>
          <w:color w:val="000000"/>
        </w:rPr>
        <w:t>(a) It violates the Sherman Act if it was a calculated scheme to gain control over an appreciable segment of the market and to restrain or suppress competition, rather than an expansion to meet legitimate business needs.  P. 174.</w:t>
      </w:r>
    </w:p>
    <w:p w14:paraId="15F123DF" w14:textId="77777777" w:rsidR="002F1BBD" w:rsidRDefault="00116564">
      <w:pPr>
        <w:spacing w:before="200" w:line="300" w:lineRule="atLeast"/>
        <w:jc w:val="both"/>
      </w:pPr>
      <w:bookmarkStart w:id="21" w:name="Bookmark_clspara_59"/>
      <w:bookmarkEnd w:id="21"/>
      <w:r>
        <w:rPr>
          <w:rFonts w:ascii="Arial Unicode MS" w:eastAsia="Arial Unicode MS" w:hAnsi="Arial Unicode MS" w:cs="Arial Unicode MS"/>
          <w:color w:val="000000"/>
        </w:rPr>
        <w:t>(b) A vertically integrated enterprise will constitute a monopoly which, though unexercised, violates the Sherman Act, if a power to exclude competition is coupled with a purpose or intent to do so.  P. 174.</w:t>
      </w:r>
    </w:p>
    <w:p w14:paraId="5EF9DCAE" w14:textId="77777777" w:rsidR="002F1BBD" w:rsidRDefault="00116564">
      <w:pPr>
        <w:spacing w:before="200" w:line="300" w:lineRule="atLeast"/>
        <w:jc w:val="both"/>
      </w:pPr>
      <w:bookmarkStart w:id="22" w:name="Bookmark_clspara_60"/>
      <w:bookmarkEnd w:id="22"/>
      <w:r>
        <w:rPr>
          <w:rFonts w:ascii="Arial Unicode MS" w:eastAsia="Arial Unicode MS" w:hAnsi="Arial Unicode MS" w:cs="Arial Unicode MS"/>
          <w:color w:val="000000"/>
        </w:rPr>
        <w:t>(c) The</w:t>
      </w:r>
      <w:r>
        <w:rPr>
          <w:rFonts w:ascii="Arial Unicode MS" w:eastAsia="Arial Unicode MS" w:hAnsi="Arial Unicode MS" w:cs="Arial Unicode MS"/>
          <w:b/>
          <w:color w:val="000000"/>
        </w:rPr>
        <w:t> [****14] </w:t>
      </w:r>
      <w:r>
        <w:rPr>
          <w:rFonts w:ascii="Arial Unicode MS" w:eastAsia="Arial Unicode MS" w:hAnsi="Arial Unicode MS" w:cs="Arial Unicode MS"/>
          <w:color w:val="000000"/>
        </w:rPr>
        <w:t xml:space="preserve"> fact that the power created by size was utilized in the past to crush or prevent competition is potent evidence that the requisite purpose or intent attends the presence of monopoly power.  P. 174.</w:t>
      </w:r>
    </w:p>
    <w:p w14:paraId="7DD70E95" w14:textId="2EF53F53" w:rsidR="000435E5" w:rsidRPr="00FD7479" w:rsidRDefault="00116564" w:rsidP="00FD7479">
      <w:pPr>
        <w:spacing w:before="200" w:line="300" w:lineRule="atLeast"/>
        <w:jc w:val="both"/>
      </w:pPr>
      <w:bookmarkStart w:id="23" w:name="Bookmark_clspara_61"/>
      <w:bookmarkEnd w:id="23"/>
      <w:r>
        <w:rPr>
          <w:rFonts w:ascii="Arial Unicode MS" w:eastAsia="Arial Unicode MS" w:hAnsi="Arial Unicode MS" w:cs="Arial Unicode MS"/>
          <w:color w:val="000000"/>
        </w:rPr>
        <w:t>(d) Likewise bearing on the question whether monopoly power is created by a vertical integration, is the nature of the market to be served and the leverage on the market which the particular vertical integration creates or makes possible.  P. 174.</w:t>
      </w:r>
      <w:bookmarkStart w:id="24" w:name="Bookmark_clspara_62"/>
      <w:bookmarkStart w:id="25" w:name="Bookmark_clspara_64"/>
      <w:bookmarkStart w:id="26" w:name="Bookmark_clspara_66"/>
      <w:bookmarkStart w:id="27" w:name="Counsel"/>
      <w:bookmarkStart w:id="28" w:name="Judges"/>
      <w:bookmarkEnd w:id="24"/>
      <w:bookmarkEnd w:id="25"/>
      <w:bookmarkEnd w:id="26"/>
      <w:bookmarkEnd w:id="27"/>
      <w:bookmarkEnd w:id="28"/>
    </w:p>
    <w:p w14:paraId="0962EE7E" w14:textId="19EF0DB0" w:rsidR="002F1BBD" w:rsidRDefault="004A6569">
      <w:pPr>
        <w:keepNext/>
        <w:spacing w:before="240" w:line="340" w:lineRule="atLeast"/>
      </w:pPr>
      <w:bookmarkStart w:id="29" w:name="Opinion"/>
      <w:bookmarkEnd w:id="29"/>
      <w:r>
        <w:rPr>
          <w:rFonts w:ascii="Arial Unicode MS" w:eastAsia="Arial Unicode MS" w:hAnsi="Arial Unicode MS" w:cs="Arial Unicode MS"/>
          <w:b/>
          <w:color w:val="000000"/>
          <w:sz w:val="28"/>
        </w:rPr>
        <w:br w:type="page"/>
      </w:r>
      <w:r w:rsidR="00116564">
        <w:rPr>
          <w:rFonts w:ascii="Arial Unicode MS" w:eastAsia="Arial Unicode MS" w:hAnsi="Arial Unicode MS" w:cs="Arial Unicode MS"/>
          <w:b/>
          <w:color w:val="000000"/>
          <w:sz w:val="28"/>
        </w:rPr>
        <w:lastRenderedPageBreak/>
        <w:t>Opinion</w:t>
      </w:r>
    </w:p>
    <w:p w14:paraId="336404A8" w14:textId="77777777" w:rsidR="002F1BBD" w:rsidRDefault="00E82A57">
      <w:pPr>
        <w:spacing w:line="60" w:lineRule="exact"/>
      </w:pPr>
      <w:r>
        <w:pict w14:anchorId="3941DDEB">
          <v:line id="_x0000_s2051" alt="" style="position:absolute;z-index:251660288;mso-wrap-edited:f;mso-width-percent:0;mso-height-percent:0;mso-width-percent:0;mso-height-percent:0" from="0,2pt" to="512pt,2pt" strokecolor="#009ddb" strokeweight="2pt">
            <w10:wrap type="topAndBottom"/>
          </v:line>
        </w:pict>
      </w:r>
    </w:p>
    <w:p w14:paraId="1F13734E" w14:textId="77777777" w:rsidR="002F1BBD" w:rsidRDefault="002F1BBD"/>
    <w:p w14:paraId="483B3BBF" w14:textId="77777777" w:rsidR="002F1BBD" w:rsidRDefault="00116564">
      <w:pPr>
        <w:spacing w:before="200" w:line="300" w:lineRule="atLeast"/>
        <w:jc w:val="both"/>
      </w:pPr>
      <w:bookmarkStart w:id="30" w:name="Bookmark_para_3"/>
      <w:bookmarkEnd w:id="30"/>
      <w:r>
        <w:rPr>
          <w:rFonts w:ascii="Arial Unicode MS" w:eastAsia="Arial Unicode MS" w:hAnsi="Arial Unicode MS" w:cs="Arial Unicode MS"/>
          <w:b/>
          <w:color w:val="000000"/>
        </w:rPr>
        <w:t> [246] </w:t>
      </w:r>
      <w:r>
        <w:rPr>
          <w:rFonts w:ascii="Arial Unicode MS" w:eastAsia="Arial Unicode MS" w:hAnsi="Arial Unicode MS" w:cs="Arial Unicode MS"/>
          <w:color w:val="000000"/>
        </w:rPr>
        <w:t xml:space="preserve"> </w:t>
      </w:r>
      <w:r>
        <w:rPr>
          <w:rFonts w:ascii="Arial Unicode MS" w:eastAsia="Arial Unicode MS" w:hAnsi="Arial Unicode MS" w:cs="Arial Unicode MS"/>
          <w:b/>
          <w:color w:val="000000"/>
        </w:rPr>
        <w:t> [*140]  [***1283]  [**921] </w:t>
      </w:r>
      <w:r>
        <w:rPr>
          <w:rFonts w:ascii="Arial Unicode MS" w:eastAsia="Arial Unicode MS" w:hAnsi="Arial Unicode MS" w:cs="Arial Unicode MS"/>
          <w:color w:val="000000"/>
        </w:rPr>
        <w:t xml:space="preserve">   MR. JUSTICE DOUGLAS delivered the opinion of the Court.</w:t>
      </w:r>
    </w:p>
    <w:p w14:paraId="236FE202" w14:textId="77777777" w:rsidR="002F1BBD" w:rsidRDefault="00116564">
      <w:pPr>
        <w:spacing w:before="240" w:line="300" w:lineRule="atLeast"/>
        <w:jc w:val="both"/>
      </w:pPr>
      <w:bookmarkStart w:id="31" w:name="Bookmark_para_4"/>
      <w:bookmarkStart w:id="32" w:name="Bookmark_I4GBFMTX0K1MNJ3G40000400"/>
      <w:bookmarkEnd w:id="31"/>
      <w:bookmarkEnd w:id="32"/>
      <w:r>
        <w:rPr>
          <w:rFonts w:ascii="Arial Unicode MS" w:eastAsia="Arial Unicode MS" w:hAnsi="Arial Unicode MS" w:cs="Arial Unicode MS"/>
          <w:color w:val="000000"/>
        </w:rPr>
        <w:t xml:space="preserve">These cases are here on appeal </w:t>
      </w:r>
      <w:r>
        <w:rPr>
          <w:rFonts w:ascii="Arial Unicode MS" w:eastAsia="Arial Unicode MS" w:hAnsi="Arial Unicode MS" w:cs="Arial Unicode MS"/>
          <w:vertAlign w:val="superscript"/>
        </w:rPr>
        <w:footnoteReference w:customMarkFollows="1" w:id="1"/>
        <w:t>1</w:t>
      </w:r>
      <w:r>
        <w:rPr>
          <w:rFonts w:ascii="Arial Unicode MS" w:eastAsia="Arial Unicode MS" w:hAnsi="Arial Unicode MS" w:cs="Arial Unicode MS"/>
          <w:b/>
          <w:color w:val="000000"/>
        </w:rPr>
        <w:t> [****18] </w:t>
      </w:r>
      <w:r>
        <w:rPr>
          <w:rFonts w:ascii="Arial Unicode MS" w:eastAsia="Arial Unicode MS" w:hAnsi="Arial Unicode MS" w:cs="Arial Unicode MS"/>
          <w:color w:val="000000"/>
        </w:rPr>
        <w:t xml:space="preserve"> from a judgment of a three-judge District Court </w:t>
      </w:r>
      <w:r>
        <w:rPr>
          <w:rFonts w:ascii="Arial Unicode MS" w:eastAsia="Arial Unicode MS" w:hAnsi="Arial Unicode MS" w:cs="Arial Unicode MS"/>
          <w:vertAlign w:val="superscript"/>
        </w:rPr>
        <w:footnoteReference w:customMarkFollows="1" w:id="2"/>
        <w:t>2</w:t>
      </w:r>
      <w:r>
        <w:rPr>
          <w:rFonts w:ascii="Arial Unicode MS" w:eastAsia="Arial Unicode MS" w:hAnsi="Arial Unicode MS" w:cs="Arial Unicode MS"/>
          <w:color w:val="000000"/>
        </w:rPr>
        <w:t xml:space="preserve"> holding that the defendants had violated </w:t>
      </w:r>
      <w:hyperlink r:id="rId6" w:history="1">
        <w:r>
          <w:rPr>
            <w:rFonts w:ascii="Arial Unicode MS" w:eastAsia="Arial Unicode MS" w:hAnsi="Arial Unicode MS" w:cs="Arial Unicode MS"/>
            <w:i/>
            <w:color w:val="0077CC"/>
            <w:u w:val="single"/>
            <w:shd w:val="clear" w:color="auto" w:fill="FFFFFF"/>
          </w:rPr>
          <w:t>§ 1</w:t>
        </w:r>
      </w:hyperlink>
      <w:r>
        <w:rPr>
          <w:rFonts w:ascii="Arial Unicode MS" w:eastAsia="Arial Unicode MS" w:hAnsi="Arial Unicode MS" w:cs="Arial Unicode MS"/>
          <w:color w:val="000000"/>
        </w:rPr>
        <w:t xml:space="preserve"> and </w:t>
      </w:r>
      <w:hyperlink r:id="rId7" w:history="1">
        <w:r>
          <w:rPr>
            <w:rFonts w:ascii="Arial Unicode MS" w:eastAsia="Arial Unicode MS" w:hAnsi="Arial Unicode MS" w:cs="Arial Unicode MS"/>
            <w:i/>
            <w:color w:val="0077CC"/>
            <w:u w:val="single"/>
            <w:shd w:val="clear" w:color="auto" w:fill="FFFFFF"/>
          </w:rPr>
          <w:t>§ 2</w:t>
        </w:r>
      </w:hyperlink>
      <w:r>
        <w:rPr>
          <w:rFonts w:ascii="Arial Unicode MS" w:eastAsia="Arial Unicode MS" w:hAnsi="Arial Unicode MS" w:cs="Arial Unicode MS"/>
          <w:color w:val="000000"/>
        </w:rPr>
        <w:t xml:space="preserve"> of the Sherman Act, 26 Stat. 209, as amended, 50 Stat. 693, </w:t>
      </w:r>
      <w:hyperlink r:id="rId8" w:history="1">
        <w:r>
          <w:rPr>
            <w:rFonts w:ascii="Arial Unicode MS" w:eastAsia="Arial Unicode MS" w:hAnsi="Arial Unicode MS" w:cs="Arial Unicode MS"/>
            <w:i/>
            <w:color w:val="0077CC"/>
            <w:u w:val="single"/>
            <w:shd w:val="clear" w:color="auto" w:fill="FFFFFF"/>
          </w:rPr>
          <w:t>15 U. S. C. §§ 1</w:t>
        </w:r>
      </w:hyperlink>
      <w:r>
        <w:rPr>
          <w:rFonts w:ascii="Arial Unicode MS" w:eastAsia="Arial Unicode MS" w:hAnsi="Arial Unicode MS" w:cs="Arial Unicode MS"/>
          <w:color w:val="000000"/>
        </w:rPr>
        <w:t xml:space="preserve">, </w:t>
      </w:r>
      <w:hyperlink r:id="rId9" w:history="1">
        <w:r>
          <w:rPr>
            <w:rFonts w:ascii="Arial Unicode MS" w:eastAsia="Arial Unicode MS" w:hAnsi="Arial Unicode MS" w:cs="Arial Unicode MS"/>
            <w:i/>
            <w:color w:val="0077CC"/>
            <w:u w:val="single"/>
            <w:shd w:val="clear" w:color="auto" w:fill="FFFFFF"/>
          </w:rPr>
          <w:t>2</w:t>
        </w:r>
      </w:hyperlink>
      <w:r>
        <w:rPr>
          <w:rFonts w:ascii="Arial Unicode MS" w:eastAsia="Arial Unicode MS" w:hAnsi="Arial Unicode MS" w:cs="Arial Unicode MS"/>
          <w:color w:val="000000"/>
        </w:rPr>
        <w:t xml:space="preserve">, and granting an injunction and other relief.  </w:t>
      </w:r>
      <w:bookmarkStart w:id="35" w:name="Bookmark_I4GBFMTX0K1MNJ3G30000400"/>
      <w:bookmarkEnd w:id="35"/>
      <w:r>
        <w:fldChar w:fldCharType="begin"/>
      </w:r>
      <w:r>
        <w:instrText xml:space="preserve"> HYPERLINK "https://plus.lexis.com/api/document?collection=cases&amp;id=urn:contentItem:3S4V-K9N0-003B-11XG-00000-00&amp;context=1530671" </w:instrText>
      </w:r>
      <w:r>
        <w:fldChar w:fldCharType="separate"/>
      </w:r>
      <w:r>
        <w:rPr>
          <w:rFonts w:ascii="Arial Unicode MS" w:eastAsia="Arial Unicode MS" w:hAnsi="Arial Unicode MS" w:cs="Arial Unicode MS"/>
          <w:i/>
          <w:color w:val="0077CC"/>
          <w:u w:val="single"/>
          <w:shd w:val="clear" w:color="auto" w:fill="FFFFFF"/>
        </w:rPr>
        <w:t xml:space="preserve">66 </w:t>
      </w:r>
      <w:proofErr w:type="spellStart"/>
      <w:r>
        <w:rPr>
          <w:rFonts w:ascii="Arial Unicode MS" w:eastAsia="Arial Unicode MS" w:hAnsi="Arial Unicode MS" w:cs="Arial Unicode MS"/>
          <w:i/>
          <w:color w:val="0077CC"/>
          <w:u w:val="single"/>
          <w:shd w:val="clear" w:color="auto" w:fill="FFFFFF"/>
        </w:rPr>
        <w:t>F.Supp</w:t>
      </w:r>
      <w:proofErr w:type="spellEnd"/>
      <w:r>
        <w:rPr>
          <w:rFonts w:ascii="Arial Unicode MS" w:eastAsia="Arial Unicode MS" w:hAnsi="Arial Unicode MS" w:cs="Arial Unicode MS"/>
          <w:i/>
          <w:color w:val="0077CC"/>
          <w:u w:val="single"/>
          <w:shd w:val="clear" w:color="auto" w:fill="FFFFFF"/>
        </w:rPr>
        <w:t>. 323</w:t>
      </w:r>
      <w:r>
        <w:rPr>
          <w:rFonts w:ascii="Arial Unicode MS" w:eastAsia="Arial Unicode MS" w:hAnsi="Arial Unicode MS" w:cs="Arial Unicode MS"/>
          <w:i/>
          <w:color w:val="0077CC"/>
          <w:u w:val="single"/>
          <w:shd w:val="clear" w:color="auto" w:fill="FFFFFF"/>
        </w:rPr>
        <w:fldChar w:fldCharType="end"/>
      </w:r>
      <w:r>
        <w:rPr>
          <w:rFonts w:ascii="Arial Unicode MS" w:eastAsia="Arial Unicode MS" w:hAnsi="Arial Unicode MS" w:cs="Arial Unicode MS"/>
          <w:color w:val="000000"/>
        </w:rPr>
        <w:t xml:space="preserve">; </w:t>
      </w:r>
      <w:bookmarkStart w:id="36" w:name="Bookmark_I4GBFMTX0K1MNJ3G50000400"/>
      <w:bookmarkEnd w:id="36"/>
      <w:r>
        <w:fldChar w:fldCharType="begin"/>
      </w:r>
      <w:r>
        <w:instrText xml:space="preserve"> HYPERLINK "https://plus.lexis.com/api/document?collection=cases&amp;id=urn:contentItem:3S4V-K2M0-003B-10YJ-00000-00&amp;context=1530671" </w:instrText>
      </w:r>
      <w:r>
        <w:fldChar w:fldCharType="separate"/>
      </w:r>
      <w:r>
        <w:rPr>
          <w:rFonts w:ascii="Arial Unicode MS" w:eastAsia="Arial Unicode MS" w:hAnsi="Arial Unicode MS" w:cs="Arial Unicode MS"/>
          <w:i/>
          <w:color w:val="0077CC"/>
          <w:u w:val="single"/>
          <w:shd w:val="clear" w:color="auto" w:fill="FFFFFF"/>
        </w:rPr>
        <w:t xml:space="preserve">70 </w:t>
      </w:r>
      <w:proofErr w:type="spellStart"/>
      <w:r>
        <w:rPr>
          <w:rFonts w:ascii="Arial Unicode MS" w:eastAsia="Arial Unicode MS" w:hAnsi="Arial Unicode MS" w:cs="Arial Unicode MS"/>
          <w:i/>
          <w:color w:val="0077CC"/>
          <w:u w:val="single"/>
          <w:shd w:val="clear" w:color="auto" w:fill="FFFFFF"/>
        </w:rPr>
        <w:t>F.Supp</w:t>
      </w:r>
      <w:proofErr w:type="spellEnd"/>
      <w:r>
        <w:rPr>
          <w:rFonts w:ascii="Arial Unicode MS" w:eastAsia="Arial Unicode MS" w:hAnsi="Arial Unicode MS" w:cs="Arial Unicode MS"/>
          <w:i/>
          <w:color w:val="0077CC"/>
          <w:u w:val="single"/>
          <w:shd w:val="clear" w:color="auto" w:fill="FFFFFF"/>
        </w:rPr>
        <w:t>. 53</w:t>
      </w:r>
      <w:r>
        <w:rPr>
          <w:rFonts w:ascii="Arial Unicode MS" w:eastAsia="Arial Unicode MS" w:hAnsi="Arial Unicode MS" w:cs="Arial Unicode MS"/>
          <w:i/>
          <w:color w:val="0077CC"/>
          <w:u w:val="single"/>
          <w:shd w:val="clear" w:color="auto" w:fill="FFFFFF"/>
        </w:rPr>
        <w:fldChar w:fldCharType="end"/>
      </w:r>
      <w:r>
        <w:rPr>
          <w:rFonts w:ascii="Arial Unicode MS" w:eastAsia="Arial Unicode MS" w:hAnsi="Arial Unicode MS" w:cs="Arial Unicode MS"/>
          <w:color w:val="000000"/>
        </w:rPr>
        <w:t>.</w:t>
      </w:r>
    </w:p>
    <w:p w14:paraId="163E357B" w14:textId="77777777" w:rsidR="002F1BBD" w:rsidRDefault="00116564">
      <w:pPr>
        <w:spacing w:before="200" w:line="300" w:lineRule="atLeast"/>
        <w:jc w:val="both"/>
      </w:pPr>
      <w:bookmarkStart w:id="37" w:name="Bookmark_para_5"/>
      <w:bookmarkEnd w:id="37"/>
      <w:r>
        <w:rPr>
          <w:rFonts w:ascii="Arial Unicode MS" w:eastAsia="Arial Unicode MS" w:hAnsi="Arial Unicode MS" w:cs="Arial Unicode MS"/>
          <w:color w:val="000000"/>
        </w:rPr>
        <w:t xml:space="preserve">The suit was instituted by the United States under § 4 of the Sherman Act to prevent and restrain violations of it.  The defendants fall into three groups: (1) Paramount Pictures, Inc., Loew's, Incorporated, Radio-Keith-Orpheum Corporation, Warner Bros. Pictures, Inc., Twentieth Century-Fox Film Corporation, which produce motion pictures, and their respective subsidiaries or affiliates which distribute and exhibit films. These are known as the five major defendants or exhibitor-defendants. (2) Columbia Pictures Corporation and Universal Corporation, which produce motion pictures, and their subsidiaries which distribute films. (3) United Artists Corporation, which is engaged only in the </w:t>
      </w:r>
      <w:r>
        <w:rPr>
          <w:rFonts w:ascii="Arial Unicode MS" w:eastAsia="Arial Unicode MS" w:hAnsi="Arial Unicode MS" w:cs="Arial Unicode MS"/>
          <w:b/>
          <w:color w:val="000000"/>
        </w:rPr>
        <w:t> [***1284] </w:t>
      </w:r>
      <w:r>
        <w:rPr>
          <w:rFonts w:ascii="Arial Unicode MS" w:eastAsia="Arial Unicode MS" w:hAnsi="Arial Unicode MS" w:cs="Arial Unicode MS"/>
          <w:color w:val="000000"/>
        </w:rPr>
        <w:t xml:space="preserve"> distribution of motion pictures. The five majors, through their subsidiaries or affiliates, own or control theatres; the other defendants do not.</w:t>
      </w:r>
    </w:p>
    <w:p w14:paraId="6FC01229" w14:textId="5F8A0508" w:rsidR="002F1BBD" w:rsidRDefault="00116564" w:rsidP="004A6569">
      <w:pPr>
        <w:spacing w:before="240" w:line="300" w:lineRule="atLeast"/>
        <w:jc w:val="both"/>
      </w:pPr>
      <w:bookmarkStart w:id="38" w:name="Bookmark_para_6"/>
      <w:bookmarkEnd w:id="38"/>
      <w:r>
        <w:rPr>
          <w:rFonts w:ascii="Arial Unicode MS" w:eastAsia="Arial Unicode MS" w:hAnsi="Arial Unicode MS" w:cs="Arial Unicode MS"/>
          <w:color w:val="000000"/>
        </w:rPr>
        <w:t xml:space="preserve">The complaint charged </w:t>
      </w:r>
      <w:r w:rsidR="004A6569">
        <w:rPr>
          <w:rFonts w:ascii="Arial Unicode MS" w:eastAsia="Arial Unicode MS" w:hAnsi="Arial Unicode MS" w:cs="Arial Unicode MS"/>
          <w:color w:val="000000"/>
        </w:rPr>
        <w:t>. . .</w:t>
      </w:r>
      <w:r>
        <w:rPr>
          <w:rFonts w:ascii="Arial Unicode MS" w:eastAsia="Arial Unicode MS" w:hAnsi="Arial Unicode MS" w:cs="Arial Unicode MS"/>
          <w:color w:val="000000"/>
        </w:rPr>
        <w:t xml:space="preserve"> that the five major defendants had engaged in a conspiracy to restrain and monopolize, and had restrained and monopolized, interstate trade in the exhibition of motion pictures in most of the larger cities of the country.  It charged that the vertical combination of producing, distributing, and exhibiting motion pictures by each of the five major defendants violated </w:t>
      </w:r>
      <w:hyperlink r:id="rId10" w:history="1">
        <w:r>
          <w:rPr>
            <w:rFonts w:ascii="Arial Unicode MS" w:eastAsia="Arial Unicode MS" w:hAnsi="Arial Unicode MS" w:cs="Arial Unicode MS"/>
            <w:i/>
            <w:color w:val="0077CC"/>
            <w:u w:val="single"/>
            <w:shd w:val="clear" w:color="auto" w:fill="FFFFFF"/>
          </w:rPr>
          <w:t>§ 1</w:t>
        </w:r>
      </w:hyperlink>
      <w:r>
        <w:rPr>
          <w:rFonts w:ascii="Arial Unicode MS" w:eastAsia="Arial Unicode MS" w:hAnsi="Arial Unicode MS" w:cs="Arial Unicode MS"/>
          <w:color w:val="000000"/>
        </w:rPr>
        <w:t xml:space="preserve"> and </w:t>
      </w:r>
      <w:hyperlink r:id="rId11" w:history="1">
        <w:r>
          <w:rPr>
            <w:rFonts w:ascii="Arial Unicode MS" w:eastAsia="Arial Unicode MS" w:hAnsi="Arial Unicode MS" w:cs="Arial Unicode MS"/>
            <w:i/>
            <w:color w:val="0077CC"/>
            <w:u w:val="single"/>
            <w:shd w:val="clear" w:color="auto" w:fill="FFFFFF"/>
          </w:rPr>
          <w:t>§ 2</w:t>
        </w:r>
      </w:hyperlink>
      <w:r>
        <w:rPr>
          <w:rFonts w:ascii="Arial Unicode MS" w:eastAsia="Arial Unicode MS" w:hAnsi="Arial Unicode MS" w:cs="Arial Unicode MS"/>
          <w:color w:val="000000"/>
        </w:rPr>
        <w:t xml:space="preserve"> of the Act.  </w:t>
      </w:r>
      <w:r w:rsidR="004A6569">
        <w:rPr>
          <w:rFonts w:ascii="Arial Unicode MS" w:eastAsia="Arial Unicode MS" w:hAnsi="Arial Unicode MS" w:cs="Arial Unicode MS"/>
          <w:color w:val="000000"/>
        </w:rPr>
        <w:t>. . .</w:t>
      </w:r>
    </w:p>
    <w:p w14:paraId="36859EBA" w14:textId="77777777" w:rsidR="002F1BBD" w:rsidRDefault="00116564">
      <w:pPr>
        <w:spacing w:before="240" w:line="300" w:lineRule="atLeast"/>
        <w:jc w:val="both"/>
      </w:pPr>
      <w:r>
        <w:rPr>
          <w:rFonts w:ascii="Arial Unicode MS" w:eastAsia="Arial Unicode MS" w:hAnsi="Arial Unicode MS" w:cs="Arial Unicode MS"/>
          <w:i/>
          <w:color w:val="000000"/>
        </w:rPr>
        <w:t>Third.  Monopoly, Expansion of Theatre Holdings, Divestiture</w:t>
      </w:r>
      <w:r>
        <w:rPr>
          <w:rFonts w:ascii="Arial Unicode MS" w:eastAsia="Arial Unicode MS" w:hAnsi="Arial Unicode MS" w:cs="Arial Unicode MS"/>
          <w:color w:val="000000"/>
        </w:rPr>
        <w:t>.</w:t>
      </w:r>
    </w:p>
    <w:p w14:paraId="3F271020" w14:textId="09A71816" w:rsidR="002F1BBD" w:rsidRDefault="002F1BBD"/>
    <w:p w14:paraId="6A53CA6C" w14:textId="0AEA27CD" w:rsidR="00D54BE3" w:rsidRDefault="00D54BE3">
      <w:r>
        <w:t>. . . .</w:t>
      </w:r>
    </w:p>
    <w:p w14:paraId="58A26B33" w14:textId="41814811" w:rsidR="002F1BBD" w:rsidRDefault="00116564">
      <w:pPr>
        <w:spacing w:before="200" w:line="300" w:lineRule="atLeast"/>
        <w:jc w:val="both"/>
      </w:pPr>
      <w:bookmarkStart w:id="39" w:name="Bookmark_LEDHN25_1"/>
      <w:bookmarkEnd w:id="39"/>
      <w:r>
        <w:rPr>
          <w:rFonts w:ascii="Arial Unicode MS" w:eastAsia="Arial Unicode MS" w:hAnsi="Arial Unicode MS" w:cs="Arial Unicode MS"/>
          <w:color w:val="000000"/>
        </w:rPr>
        <w:lastRenderedPageBreak/>
        <w:t xml:space="preserve">The chief argument at the bar is phrased in terms of monopoly of exhibition, restraints on exhibition, and the like.  Actually, the issue is even narrower than that.  The main contest is over the cream of the exhibition business -- that of the first-run theatres. By defining the issue so narrowly we do not intend to belittle its importance.  It shows, however, that the question here is not </w:t>
      </w:r>
      <w:r>
        <w:rPr>
          <w:rFonts w:ascii="Arial Unicode MS" w:eastAsia="Arial Unicode MS" w:hAnsi="Arial Unicode MS" w:cs="Arial Unicode MS"/>
          <w:b/>
          <w:color w:val="000000"/>
        </w:rPr>
        <w:t> [*167] </w:t>
      </w:r>
      <w:r>
        <w:rPr>
          <w:rFonts w:ascii="Arial Unicode MS" w:eastAsia="Arial Unicode MS" w:hAnsi="Arial Unicode MS" w:cs="Arial Unicode MS"/>
          <w:color w:val="000000"/>
        </w:rPr>
        <w:t xml:space="preserve"> </w:t>
      </w:r>
      <w:r>
        <w:rPr>
          <w:rFonts w:ascii="Arial Unicode MS" w:eastAsia="Arial Unicode MS" w:hAnsi="Arial Unicode MS" w:cs="Arial Unicode MS"/>
          <w:i/>
          <w:color w:val="000000"/>
        </w:rPr>
        <w:t>what</w:t>
      </w:r>
      <w:r>
        <w:rPr>
          <w:rFonts w:ascii="Arial Unicode MS" w:eastAsia="Arial Unicode MS" w:hAnsi="Arial Unicode MS" w:cs="Arial Unicode MS"/>
          <w:color w:val="000000"/>
        </w:rPr>
        <w:t xml:space="preserve"> the public will see or </w:t>
      </w:r>
      <w:r>
        <w:rPr>
          <w:rFonts w:ascii="Arial Unicode MS" w:eastAsia="Arial Unicode MS" w:hAnsi="Arial Unicode MS" w:cs="Arial Unicode MS"/>
          <w:i/>
          <w:color w:val="000000"/>
        </w:rPr>
        <w:t>if</w:t>
      </w:r>
      <w:r>
        <w:rPr>
          <w:rFonts w:ascii="Arial Unicode MS" w:eastAsia="Arial Unicode MS" w:hAnsi="Arial Unicode MS" w:cs="Arial Unicode MS"/>
          <w:color w:val="000000"/>
        </w:rPr>
        <w:t xml:space="preserve"> the public will be permitted to see certain features.  It is clear that under the existing system the public will be denied access to none.  If the public cannot see the features on the first-run, it may do so on the second, third, fourth, or later run.  The central problem presented by these cases is which exhibitors get </w:t>
      </w:r>
      <w:proofErr w:type="gramStart"/>
      <w:r>
        <w:rPr>
          <w:rFonts w:ascii="Arial Unicode MS" w:eastAsia="Arial Unicode MS" w:hAnsi="Arial Unicode MS" w:cs="Arial Unicode MS"/>
          <w:color w:val="000000"/>
        </w:rPr>
        <w:t xml:space="preserve">the </w:t>
      </w:r>
      <w:r>
        <w:rPr>
          <w:rFonts w:ascii="Arial Unicode MS" w:eastAsia="Arial Unicode MS" w:hAnsi="Arial Unicode MS" w:cs="Arial Unicode MS"/>
          <w:b/>
          <w:color w:val="000000"/>
        </w:rPr>
        <w:t> [</w:t>
      </w:r>
      <w:proofErr w:type="gramEnd"/>
      <w:r>
        <w:rPr>
          <w:rFonts w:ascii="Arial Unicode MS" w:eastAsia="Arial Unicode MS" w:hAnsi="Arial Unicode MS" w:cs="Arial Unicode MS"/>
          <w:b/>
          <w:color w:val="000000"/>
        </w:rPr>
        <w:t>**934] </w:t>
      </w:r>
      <w:r>
        <w:rPr>
          <w:rFonts w:ascii="Arial Unicode MS" w:eastAsia="Arial Unicode MS" w:hAnsi="Arial Unicode MS" w:cs="Arial Unicode MS"/>
          <w:color w:val="000000"/>
        </w:rPr>
        <w:t xml:space="preserve"> highly profitable first-run business. </w:t>
      </w:r>
      <w:r w:rsidR="00D54BE3">
        <w:rPr>
          <w:rFonts w:ascii="Arial Unicode MS" w:eastAsia="Arial Unicode MS" w:hAnsi="Arial Unicode MS" w:cs="Arial Unicode MS"/>
          <w:color w:val="000000"/>
        </w:rPr>
        <w:t>. . .</w:t>
      </w:r>
    </w:p>
    <w:p w14:paraId="69F7599E" w14:textId="77777777" w:rsidR="002F1BBD" w:rsidRDefault="00116564">
      <w:pPr>
        <w:spacing w:before="200" w:line="300" w:lineRule="atLeast"/>
        <w:jc w:val="both"/>
      </w:pPr>
      <w:bookmarkStart w:id="40" w:name="Bookmark_para_68"/>
      <w:bookmarkEnd w:id="40"/>
      <w:r>
        <w:rPr>
          <w:rFonts w:ascii="Arial Unicode MS" w:eastAsia="Arial Unicode MS" w:hAnsi="Arial Unicode MS" w:cs="Arial Unicode MS"/>
          <w:color w:val="000000"/>
        </w:rPr>
        <w:t>The controversy over monopoly relates to monopoly in exhibition and more particularly monopoly in the first-run phase of the exhibition business.</w:t>
      </w:r>
    </w:p>
    <w:p w14:paraId="5135F749" w14:textId="77777777" w:rsidR="002F1BBD" w:rsidRDefault="00116564">
      <w:pPr>
        <w:spacing w:before="200" w:line="300" w:lineRule="atLeast"/>
        <w:jc w:val="both"/>
      </w:pPr>
      <w:bookmarkStart w:id="41" w:name="Bookmark_para_69"/>
      <w:bookmarkEnd w:id="41"/>
      <w:r>
        <w:rPr>
          <w:rFonts w:ascii="Arial Unicode MS" w:eastAsia="Arial Unicode MS" w:hAnsi="Arial Unicode MS" w:cs="Arial Unicode MS"/>
          <w:color w:val="000000"/>
        </w:rPr>
        <w:t xml:space="preserve">The five majors in 1945 had interests in somewhat over 17 per cent of the theatres in the United States -- 3,137 out of 18,076. </w:t>
      </w:r>
      <w:r>
        <w:rPr>
          <w:rFonts w:ascii="Arial Unicode MS" w:eastAsia="Arial Unicode MS" w:hAnsi="Arial Unicode MS" w:cs="Arial Unicode MS"/>
          <w:vertAlign w:val="superscript"/>
        </w:rPr>
        <w:footnoteReference w:customMarkFollows="1" w:id="3"/>
        <w:t>18</w:t>
      </w:r>
      <w:r>
        <w:rPr>
          <w:rFonts w:ascii="Arial Unicode MS" w:eastAsia="Arial Unicode MS" w:hAnsi="Arial Unicode MS" w:cs="Arial Unicode MS"/>
          <w:color w:val="000000"/>
        </w:rPr>
        <w:t xml:space="preserve"> Those theatres paid 45 per cent of the total domestic </w:t>
      </w:r>
      <w:r>
        <w:rPr>
          <w:rFonts w:ascii="Arial Unicode MS" w:eastAsia="Arial Unicode MS" w:hAnsi="Arial Unicode MS" w:cs="Arial Unicode MS"/>
          <w:b/>
          <w:color w:val="000000"/>
        </w:rPr>
        <w:t> [***1298] </w:t>
      </w:r>
      <w:r>
        <w:rPr>
          <w:rFonts w:ascii="Arial Unicode MS" w:eastAsia="Arial Unicode MS" w:hAnsi="Arial Unicode MS" w:cs="Arial Unicode MS"/>
          <w:color w:val="000000"/>
        </w:rPr>
        <w:t xml:space="preserve"> film rental received by all eight defendants.</w:t>
      </w:r>
    </w:p>
    <w:p w14:paraId="1E5C9326" w14:textId="77777777" w:rsidR="002F1BBD" w:rsidRDefault="00116564">
      <w:pPr>
        <w:spacing w:before="200" w:line="300" w:lineRule="atLeast"/>
        <w:jc w:val="both"/>
      </w:pPr>
      <w:bookmarkStart w:id="44" w:name="Bookmark_para_70"/>
      <w:bookmarkEnd w:id="44"/>
      <w:r>
        <w:rPr>
          <w:rFonts w:ascii="Arial Unicode MS" w:eastAsia="Arial Unicode MS" w:hAnsi="Arial Unicode MS" w:cs="Arial Unicode MS"/>
          <w:b/>
          <w:color w:val="000000"/>
        </w:rPr>
        <w:t> [****65] </w:t>
      </w:r>
      <w:r>
        <w:rPr>
          <w:rFonts w:ascii="Arial Unicode MS" w:eastAsia="Arial Unicode MS" w:hAnsi="Arial Unicode MS" w:cs="Arial Unicode MS"/>
          <w:color w:val="000000"/>
        </w:rPr>
        <w:t xml:space="preserve"> In the 92 cities of the country with populations over 100,000 at least 70 per cent of all the first-run theatres are affiliated with one or more of the five majors.  In 4 of those cities the five majors have no theatres. In 38 of those cities there are no independent first-run theatres. In none of the remaining 50 cities did less </w:t>
      </w:r>
      <w:r>
        <w:rPr>
          <w:rFonts w:ascii="Arial Unicode MS" w:eastAsia="Arial Unicode MS" w:hAnsi="Arial Unicode MS" w:cs="Arial Unicode MS"/>
          <w:b/>
          <w:color w:val="000000"/>
        </w:rPr>
        <w:t> [*168] </w:t>
      </w:r>
      <w:r>
        <w:rPr>
          <w:rFonts w:ascii="Arial Unicode MS" w:eastAsia="Arial Unicode MS" w:hAnsi="Arial Unicode MS" w:cs="Arial Unicode MS"/>
          <w:color w:val="000000"/>
        </w:rPr>
        <w:t xml:space="preserve"> than three of the distributor-defendants license their product on first run to theatres of the five majors.  In 19 of the 50 cities less than three of the distributor-defendants licensed their product on first run to independent theatres. In a majority of the 50 cities the greater share of all of the features of defendants were licensed for first-run exhibition in the theatres of the five majors.</w:t>
      </w:r>
    </w:p>
    <w:p w14:paraId="6085D44C" w14:textId="77777777" w:rsidR="002F1BBD" w:rsidRDefault="00116564">
      <w:pPr>
        <w:spacing w:before="200" w:line="300" w:lineRule="atLeast"/>
        <w:jc w:val="both"/>
      </w:pPr>
      <w:bookmarkStart w:id="45" w:name="Bookmark_para_71"/>
      <w:bookmarkEnd w:id="45"/>
      <w:r>
        <w:rPr>
          <w:rFonts w:ascii="Arial Unicode MS" w:eastAsia="Arial Unicode MS" w:hAnsi="Arial Unicode MS" w:cs="Arial Unicode MS"/>
          <w:color w:val="000000"/>
        </w:rPr>
        <w:lastRenderedPageBreak/>
        <w:t xml:space="preserve">In about 60 per cent of the 92 cities having populations of over 100,000, independent theatres compete with those of the five majors in first-run exhibition. In about 91 per cent of the 92 cities there is competition between independent </w:t>
      </w:r>
      <w:r>
        <w:rPr>
          <w:rFonts w:ascii="Arial Unicode MS" w:eastAsia="Arial Unicode MS" w:hAnsi="Arial Unicode MS" w:cs="Arial Unicode MS"/>
          <w:b/>
          <w:color w:val="000000"/>
        </w:rPr>
        <w:t> [257] </w:t>
      </w:r>
      <w:r>
        <w:rPr>
          <w:rFonts w:ascii="Arial Unicode MS" w:eastAsia="Arial Unicode MS" w:hAnsi="Arial Unicode MS" w:cs="Arial Unicode MS"/>
          <w:color w:val="000000"/>
        </w:rPr>
        <w:t xml:space="preserve"> theatres and the theatres of the five majors or between theatres of the five majors themselves for first-run exhibition. In all of the 92 cities there is always competition in some run even where there is no competition</w:t>
      </w:r>
      <w:r>
        <w:rPr>
          <w:rFonts w:ascii="Arial Unicode MS" w:eastAsia="Arial Unicode MS" w:hAnsi="Arial Unicode MS" w:cs="Arial Unicode MS"/>
          <w:b/>
          <w:color w:val="000000"/>
        </w:rPr>
        <w:t> [****66] </w:t>
      </w:r>
      <w:r>
        <w:rPr>
          <w:rFonts w:ascii="Arial Unicode MS" w:eastAsia="Arial Unicode MS" w:hAnsi="Arial Unicode MS" w:cs="Arial Unicode MS"/>
          <w:color w:val="000000"/>
        </w:rPr>
        <w:t xml:space="preserve"> in first runs.</w:t>
      </w:r>
    </w:p>
    <w:p w14:paraId="092E49FE" w14:textId="77777777" w:rsidR="002F1BBD" w:rsidRDefault="00116564">
      <w:pPr>
        <w:spacing w:before="200" w:line="300" w:lineRule="atLeast"/>
        <w:jc w:val="both"/>
      </w:pPr>
      <w:bookmarkStart w:id="46" w:name="Bookmark_para_72"/>
      <w:bookmarkEnd w:id="46"/>
      <w:r>
        <w:rPr>
          <w:rFonts w:ascii="Arial Unicode MS" w:eastAsia="Arial Unicode MS" w:hAnsi="Arial Unicode MS" w:cs="Arial Unicode MS"/>
          <w:color w:val="000000"/>
        </w:rPr>
        <w:t>In cities between 25,000 and 100,000 populations the five majors have interests in 577 of a total of 978 first-run theatres or about 60 per cent.  In about 300 additional towns, mostly under 25,000, an operator affiliated with one of the five majors has all of the theatres in the town.</w:t>
      </w:r>
    </w:p>
    <w:p w14:paraId="4FD95BB5" w14:textId="3570615E" w:rsidR="002F1BBD" w:rsidRDefault="00116564">
      <w:pPr>
        <w:spacing w:before="200" w:line="300" w:lineRule="atLeast"/>
        <w:jc w:val="both"/>
      </w:pPr>
      <w:bookmarkStart w:id="47" w:name="Bookmark_para_73"/>
      <w:bookmarkEnd w:id="47"/>
      <w:r>
        <w:rPr>
          <w:rFonts w:ascii="Arial Unicode MS" w:eastAsia="Arial Unicode MS" w:hAnsi="Arial Unicode MS" w:cs="Arial Unicode MS"/>
          <w:color w:val="000000"/>
        </w:rPr>
        <w:t xml:space="preserve">The District Court held that the five majors could not be treated collectively so as to establish claims of general monopolization in exhibition. It found that none of them was organized or had been maintained "for the purpose of achieving a national monopoly" in exhibition. It found that the five majors by their present theatre holdings "alone" (which aggregate a little more than one-sixth of all the theatres in the United States), "do not and cannot collectively or individually, have a monopoly of exhibition." The District Court also found that where a single defendant owns all of the first-run theatres in a town, there is no sufficient proof that the acquisition was for the purpose of creating a monopoly. It found rather that such consequence resulted from the inertness </w:t>
      </w:r>
      <w:r>
        <w:rPr>
          <w:rFonts w:ascii="Arial Unicode MS" w:eastAsia="Arial Unicode MS" w:hAnsi="Arial Unicode MS" w:cs="Arial Unicode MS"/>
          <w:b/>
          <w:color w:val="000000"/>
        </w:rPr>
        <w:t> [*169] </w:t>
      </w:r>
      <w:r>
        <w:rPr>
          <w:rFonts w:ascii="Arial Unicode MS" w:eastAsia="Arial Unicode MS" w:hAnsi="Arial Unicode MS" w:cs="Arial Unicode MS"/>
          <w:color w:val="000000"/>
        </w:rPr>
        <w:t xml:space="preserve"> of competitors, their lack of financial ability to build theatres comparable to those of the five majors, </w:t>
      </w:r>
      <w:r>
        <w:rPr>
          <w:rFonts w:ascii="Arial Unicode MS" w:eastAsia="Arial Unicode MS" w:hAnsi="Arial Unicode MS" w:cs="Arial Unicode MS"/>
          <w:b/>
          <w:color w:val="000000"/>
        </w:rPr>
        <w:t> [****67] </w:t>
      </w:r>
      <w:r>
        <w:rPr>
          <w:rFonts w:ascii="Arial Unicode MS" w:eastAsia="Arial Unicode MS" w:hAnsi="Arial Unicode MS" w:cs="Arial Unicode MS"/>
          <w:color w:val="000000"/>
        </w:rPr>
        <w:t xml:space="preserve"> or the preference of the public for the best-equipped theatres. And the percentage of features on the market which any of the five majors could play in its own theatres was found to be relatively small and </w:t>
      </w:r>
      <w:proofErr w:type="gramStart"/>
      <w:r>
        <w:rPr>
          <w:rFonts w:ascii="Arial Unicode MS" w:eastAsia="Arial Unicode MS" w:hAnsi="Arial Unicode MS" w:cs="Arial Unicode MS"/>
          <w:color w:val="000000"/>
        </w:rPr>
        <w:t xml:space="preserve">in </w:t>
      </w:r>
      <w:r>
        <w:rPr>
          <w:rFonts w:ascii="Arial Unicode MS" w:eastAsia="Arial Unicode MS" w:hAnsi="Arial Unicode MS" w:cs="Arial Unicode MS"/>
          <w:b/>
          <w:color w:val="000000"/>
        </w:rPr>
        <w:t> [</w:t>
      </w:r>
      <w:proofErr w:type="gramEnd"/>
      <w:r>
        <w:rPr>
          <w:rFonts w:ascii="Arial Unicode MS" w:eastAsia="Arial Unicode MS" w:hAnsi="Arial Unicode MS" w:cs="Arial Unicode MS"/>
          <w:b/>
          <w:color w:val="000000"/>
        </w:rPr>
        <w:t>**935] </w:t>
      </w:r>
      <w:r>
        <w:rPr>
          <w:rFonts w:ascii="Arial Unicode MS" w:eastAsia="Arial Unicode MS" w:hAnsi="Arial Unicode MS" w:cs="Arial Unicode MS"/>
          <w:color w:val="000000"/>
        </w:rPr>
        <w:t xml:space="preserve"> nowise to approximate a monopoly of film exhibition</w:t>
      </w:r>
      <w:r w:rsidR="00D54BE3">
        <w:rPr>
          <w:rFonts w:ascii="Arial Unicode MS" w:eastAsia="Arial Unicode MS" w:hAnsi="Arial Unicode MS" w:cs="Arial Unicode MS"/>
          <w:color w:val="000000"/>
        </w:rPr>
        <w:t xml:space="preserve">. . . </w:t>
      </w:r>
      <w:r>
        <w:rPr>
          <w:rFonts w:ascii="Arial Unicode MS" w:eastAsia="Arial Unicode MS" w:hAnsi="Arial Unicode MS" w:cs="Arial Unicode MS"/>
          <w:color w:val="000000"/>
        </w:rPr>
        <w:t>.</w:t>
      </w:r>
    </w:p>
    <w:p w14:paraId="609FFEB3" w14:textId="77777777" w:rsidR="002F1BBD" w:rsidRDefault="00116564">
      <w:pPr>
        <w:spacing w:before="200" w:line="300" w:lineRule="atLeast"/>
        <w:jc w:val="both"/>
      </w:pPr>
      <w:bookmarkStart w:id="48" w:name="Bookmark_para_74"/>
      <w:bookmarkEnd w:id="48"/>
      <w:r>
        <w:rPr>
          <w:rFonts w:ascii="Arial Unicode MS" w:eastAsia="Arial Unicode MS" w:hAnsi="Arial Unicode MS" w:cs="Arial Unicode MS"/>
          <w:color w:val="000000"/>
        </w:rPr>
        <w:t>Even in respect of the theatres jointly owned or jointly operated by the defendants</w:t>
      </w:r>
      <w:r>
        <w:rPr>
          <w:rFonts w:ascii="Arial Unicode MS" w:eastAsia="Arial Unicode MS" w:hAnsi="Arial Unicode MS" w:cs="Arial Unicode MS"/>
          <w:b/>
          <w:color w:val="000000"/>
        </w:rPr>
        <w:t> [****68</w:t>
      </w:r>
      <w:proofErr w:type="gramStart"/>
      <w:r>
        <w:rPr>
          <w:rFonts w:ascii="Arial Unicode MS" w:eastAsia="Arial Unicode MS" w:hAnsi="Arial Unicode MS" w:cs="Arial Unicode MS"/>
          <w:b/>
          <w:color w:val="000000"/>
        </w:rPr>
        <w:t>] </w:t>
      </w:r>
      <w:r>
        <w:rPr>
          <w:rFonts w:ascii="Arial Unicode MS" w:eastAsia="Arial Unicode MS" w:hAnsi="Arial Unicode MS" w:cs="Arial Unicode MS"/>
          <w:color w:val="000000"/>
        </w:rPr>
        <w:t xml:space="preserve"> with</w:t>
      </w:r>
      <w:proofErr w:type="gramEnd"/>
      <w:r>
        <w:rPr>
          <w:rFonts w:ascii="Arial Unicode MS" w:eastAsia="Arial Unicode MS" w:hAnsi="Arial Unicode MS" w:cs="Arial Unicode MS"/>
          <w:color w:val="000000"/>
        </w:rPr>
        <w:t xml:space="preserve"> each other or with independents, the District Court found no monopoly or attempt to monopolize.  Those joint agreements or ownership were found only to be unreasonable restraints of trade.  The District Court, indeed, found no monopoly on any phase of the cases, although it did find an attempt to monopolize in the fixing of prices, the granting of unreasonable </w:t>
      </w:r>
      <w:r>
        <w:rPr>
          <w:rFonts w:ascii="Arial Unicode MS" w:eastAsia="Arial Unicode MS" w:hAnsi="Arial Unicode MS" w:cs="Arial Unicode MS"/>
          <w:b/>
          <w:color w:val="000000"/>
        </w:rPr>
        <w:t> [*170] </w:t>
      </w:r>
      <w:r>
        <w:rPr>
          <w:rFonts w:ascii="Arial Unicode MS" w:eastAsia="Arial Unicode MS" w:hAnsi="Arial Unicode MS" w:cs="Arial Unicode MS"/>
          <w:color w:val="000000"/>
        </w:rPr>
        <w:t xml:space="preserve"> clearances, block-booking and the other unlawful restraints of trade we have already discussed.  The "root of the difficulties," according to the District Court, lay not in theatre ownership but in those unlawful practices.</w:t>
      </w:r>
    </w:p>
    <w:p w14:paraId="74FB11F5" w14:textId="335425F2" w:rsidR="002F1BBD" w:rsidRDefault="00116564">
      <w:pPr>
        <w:spacing w:before="200" w:line="300" w:lineRule="atLeast"/>
        <w:jc w:val="both"/>
      </w:pPr>
      <w:bookmarkStart w:id="49" w:name="Bookmark_para_75"/>
      <w:bookmarkEnd w:id="49"/>
      <w:r>
        <w:rPr>
          <w:rFonts w:ascii="Arial Unicode MS" w:eastAsia="Arial Unicode MS" w:hAnsi="Arial Unicode MS" w:cs="Arial Unicode MS"/>
          <w:color w:val="000000"/>
        </w:rPr>
        <w:lastRenderedPageBreak/>
        <w:t xml:space="preserve">The District Court did, however, enjoin the five majors from expanding their present theatre holdings in any manner. It refused to grant the request of the Department of Justice for total divestiture by the five majors of their theatre holdings.  It found that total divestiture would be injurious to the five majors </w:t>
      </w:r>
      <w:r>
        <w:rPr>
          <w:rFonts w:ascii="Arial Unicode MS" w:eastAsia="Arial Unicode MS" w:hAnsi="Arial Unicode MS" w:cs="Arial Unicode MS"/>
          <w:b/>
          <w:color w:val="000000"/>
        </w:rPr>
        <w:t> [***1299] </w:t>
      </w:r>
      <w:r>
        <w:rPr>
          <w:rFonts w:ascii="Arial Unicode MS" w:eastAsia="Arial Unicode MS" w:hAnsi="Arial Unicode MS" w:cs="Arial Unicode MS"/>
          <w:color w:val="000000"/>
        </w:rPr>
        <w:t xml:space="preserve"> and damaging to the public.  </w:t>
      </w:r>
      <w:proofErr w:type="spellStart"/>
      <w:r>
        <w:rPr>
          <w:rFonts w:ascii="Arial Unicode MS" w:eastAsia="Arial Unicode MS" w:hAnsi="Arial Unicode MS" w:cs="Arial Unicode MS"/>
          <w:color w:val="000000"/>
        </w:rPr>
        <w:t>Its</w:t>
      </w:r>
      <w:proofErr w:type="spellEnd"/>
      <w:r>
        <w:rPr>
          <w:rFonts w:ascii="Arial Unicode MS" w:eastAsia="Arial Unicode MS" w:hAnsi="Arial Unicode MS" w:cs="Arial Unicode MS"/>
          <w:color w:val="000000"/>
        </w:rPr>
        <w:t xml:space="preserve"> thought on the latter score was that the new set of theatre owners who would take the place of the five majors would be unlikely for some years to give the public as good service as those they supplanted "in view of the latter's</w:t>
      </w:r>
      <w:r>
        <w:rPr>
          <w:rFonts w:ascii="Arial Unicode MS" w:eastAsia="Arial Unicode MS" w:hAnsi="Arial Unicode MS" w:cs="Arial Unicode MS"/>
          <w:b/>
          <w:color w:val="000000"/>
        </w:rPr>
        <w:t> [****69] </w:t>
      </w:r>
      <w:r>
        <w:rPr>
          <w:rFonts w:ascii="Arial Unicode MS" w:eastAsia="Arial Unicode MS" w:hAnsi="Arial Unicode MS" w:cs="Arial Unicode MS"/>
          <w:color w:val="000000"/>
        </w:rPr>
        <w:t xml:space="preserve"> demonstrated experience and skill in operating what must be regarded as in general the largest and best equipped theatres." Divestiture was, it thought, too harsh a remedy where there was available the alternative of competitive bidding. It accordingly concluded that divestiture was unnecessary "at least until the efficiency of that system has been tried and found wanting."</w:t>
      </w:r>
    </w:p>
    <w:p w14:paraId="5EECEAA6" w14:textId="77777777" w:rsidR="002F1BBD" w:rsidRDefault="00116564">
      <w:pPr>
        <w:spacing w:before="200" w:line="300" w:lineRule="atLeast"/>
        <w:jc w:val="both"/>
      </w:pPr>
      <w:bookmarkStart w:id="50" w:name="Bookmark_para_76"/>
      <w:bookmarkEnd w:id="50"/>
      <w:r>
        <w:rPr>
          <w:rFonts w:ascii="Arial Unicode MS" w:eastAsia="Arial Unicode MS" w:hAnsi="Arial Unicode MS" w:cs="Arial Unicode MS"/>
          <w:color w:val="000000"/>
        </w:rPr>
        <w:t xml:space="preserve">It is clear, so far as the five majors are concerned, that the aim of the conspiracy was exclusionary, </w:t>
      </w:r>
      <w:proofErr w:type="spellStart"/>
      <w:r>
        <w:rPr>
          <w:rFonts w:ascii="Arial Unicode MS" w:eastAsia="Arial Unicode MS" w:hAnsi="Arial Unicode MS" w:cs="Arial Unicode MS"/>
          <w:i/>
          <w:color w:val="000000"/>
        </w:rPr>
        <w:t>i</w:t>
      </w:r>
      <w:proofErr w:type="spellEnd"/>
      <w:r>
        <w:rPr>
          <w:rFonts w:ascii="Arial Unicode MS" w:eastAsia="Arial Unicode MS" w:hAnsi="Arial Unicode MS" w:cs="Arial Unicode MS"/>
          <w:i/>
          <w:color w:val="000000"/>
        </w:rPr>
        <w:t>. e</w:t>
      </w:r>
      <w:r>
        <w:rPr>
          <w:rFonts w:ascii="Arial Unicode MS" w:eastAsia="Arial Unicode MS" w:hAnsi="Arial Unicode MS" w:cs="Arial Unicode MS"/>
          <w:color w:val="000000"/>
        </w:rPr>
        <w:t>. it was designed to strengthen their hold on the exhibition field.  In other words, the conspiracy had monopoly in exhibition for one of its goals, as the District Court held.  Price, clearance, and run are interdependent.  The clearance and run provisions of the licenses fixed the relative playing positions of all theatres in a certain area; the minimum price provisions</w:t>
      </w:r>
      <w:r>
        <w:rPr>
          <w:rFonts w:ascii="Arial Unicode MS" w:eastAsia="Arial Unicode MS" w:hAnsi="Arial Unicode MS" w:cs="Arial Unicode MS"/>
          <w:b/>
          <w:color w:val="000000"/>
        </w:rPr>
        <w:t> [****70] </w:t>
      </w:r>
      <w:r>
        <w:rPr>
          <w:rFonts w:ascii="Arial Unicode MS" w:eastAsia="Arial Unicode MS" w:hAnsi="Arial Unicode MS" w:cs="Arial Unicode MS"/>
          <w:color w:val="000000"/>
        </w:rPr>
        <w:t xml:space="preserve"> were based on playing position -- the </w:t>
      </w:r>
      <w:r>
        <w:rPr>
          <w:rFonts w:ascii="Arial Unicode MS" w:eastAsia="Arial Unicode MS" w:hAnsi="Arial Unicode MS" w:cs="Arial Unicode MS"/>
          <w:b/>
          <w:color w:val="000000"/>
        </w:rPr>
        <w:t> [258] </w:t>
      </w:r>
      <w:r>
        <w:rPr>
          <w:rFonts w:ascii="Arial Unicode MS" w:eastAsia="Arial Unicode MS" w:hAnsi="Arial Unicode MS" w:cs="Arial Unicode MS"/>
          <w:color w:val="000000"/>
        </w:rPr>
        <w:t xml:space="preserve"> first-run theatres being required to charge the highest prices, </w:t>
      </w:r>
      <w:r>
        <w:rPr>
          <w:rFonts w:ascii="Arial Unicode MS" w:eastAsia="Arial Unicode MS" w:hAnsi="Arial Unicode MS" w:cs="Arial Unicode MS"/>
          <w:b/>
          <w:color w:val="000000"/>
        </w:rPr>
        <w:t> [*171] </w:t>
      </w:r>
      <w:r>
        <w:rPr>
          <w:rFonts w:ascii="Arial Unicode MS" w:eastAsia="Arial Unicode MS" w:hAnsi="Arial Unicode MS" w:cs="Arial Unicode MS"/>
          <w:color w:val="000000"/>
        </w:rPr>
        <w:t xml:space="preserve"> the second-run theatres the next highest, and so on.  As the District Court found, "In effect, the distributor, by the fixing of minimum admission prices, </w:t>
      </w:r>
      <w:r>
        <w:rPr>
          <w:rFonts w:ascii="Arial Unicode MS" w:eastAsia="Arial Unicode MS" w:hAnsi="Arial Unicode MS" w:cs="Arial Unicode MS"/>
          <w:b/>
          <w:color w:val="000000"/>
        </w:rPr>
        <w:t> [**936] </w:t>
      </w:r>
      <w:r>
        <w:rPr>
          <w:rFonts w:ascii="Arial Unicode MS" w:eastAsia="Arial Unicode MS" w:hAnsi="Arial Unicode MS" w:cs="Arial Unicode MS"/>
          <w:color w:val="000000"/>
        </w:rPr>
        <w:t xml:space="preserve"> attempts to give the prior-run exhibitors as near a monopoly of the patronage as possible." </w:t>
      </w:r>
    </w:p>
    <w:p w14:paraId="41F2CBE1" w14:textId="77777777" w:rsidR="002F1BBD" w:rsidRDefault="00116564">
      <w:pPr>
        <w:spacing w:before="200" w:line="300" w:lineRule="atLeast"/>
        <w:jc w:val="both"/>
      </w:pPr>
      <w:bookmarkStart w:id="51" w:name="Bookmark_para_77"/>
      <w:bookmarkStart w:id="52" w:name="Bookmark_LEDHN27_1"/>
      <w:bookmarkEnd w:id="51"/>
      <w:bookmarkEnd w:id="52"/>
      <w:r>
        <w:rPr>
          <w:rFonts w:ascii="Arial Unicode MS" w:eastAsia="Arial Unicode MS" w:hAnsi="Arial Unicode MS" w:cs="Arial Unicode MS"/>
          <w:color w:val="000000"/>
        </w:rPr>
        <w:t xml:space="preserve">[27]It is, therefore, not enough in determining the need for divestiture to conclude with the District Court that none of the defendants was organized or has been maintained for the purpose of achieving a "national monopoly," nor that the five majors through their present theatre holdings "alone" do not and cannot collectively or individually have a monopoly of exhibition. For </w:t>
      </w:r>
      <w:bookmarkStart w:id="53" w:name="Bookmark_LNHNREFclscc11"/>
      <w:bookmarkEnd w:id="53"/>
      <w:r>
        <w:rPr>
          <w:rFonts w:ascii="Arial Unicode MS" w:eastAsia="Arial Unicode MS" w:hAnsi="Arial Unicode MS" w:cs="Arial Unicode MS"/>
          <w:color w:val="000000"/>
        </w:rPr>
        <w:t xml:space="preserve">when the starting point is a conspiracy to effect a monopoly through restraints of trade, it is relevant to determine what the results of the conspiracy were even if they fell short of monopoly. </w:t>
      </w:r>
    </w:p>
    <w:p w14:paraId="1A844DF5" w14:textId="77777777" w:rsidR="002F1BBD" w:rsidRDefault="00116564">
      <w:pPr>
        <w:spacing w:before="200" w:line="300" w:lineRule="atLeast"/>
        <w:jc w:val="both"/>
      </w:pPr>
      <w:bookmarkStart w:id="54" w:name="Bookmark_para_78"/>
      <w:bookmarkStart w:id="55" w:name="Bookmark_LEDHN28_1"/>
      <w:bookmarkEnd w:id="54"/>
      <w:bookmarkEnd w:id="55"/>
      <w:r>
        <w:rPr>
          <w:rFonts w:ascii="Arial Unicode MS" w:eastAsia="Arial Unicode MS" w:hAnsi="Arial Unicode MS" w:cs="Arial Unicode MS"/>
          <w:color w:val="000000"/>
        </w:rPr>
        <w:t xml:space="preserve">[28] </w:t>
      </w:r>
      <w:r>
        <w:rPr>
          <w:rFonts w:ascii="Arial Unicode MS" w:eastAsia="Arial Unicode MS" w:hAnsi="Arial Unicode MS" w:cs="Arial Unicode MS"/>
          <w:b/>
          <w:color w:val="000000"/>
        </w:rPr>
        <w:t> [****71] </w:t>
      </w:r>
      <w:r>
        <w:rPr>
          <w:rFonts w:ascii="Arial Unicode MS" w:eastAsia="Arial Unicode MS" w:hAnsi="Arial Unicode MS" w:cs="Arial Unicode MS"/>
          <w:color w:val="000000"/>
        </w:rPr>
        <w:t xml:space="preserve"> </w:t>
      </w:r>
      <w:bookmarkStart w:id="56" w:name="Bookmark_LEDHN29_1"/>
      <w:bookmarkEnd w:id="56"/>
      <w:r>
        <w:rPr>
          <w:rFonts w:ascii="Arial Unicode MS" w:eastAsia="Arial Unicode MS" w:hAnsi="Arial Unicode MS" w:cs="Arial Unicode MS"/>
          <w:color w:val="000000"/>
        </w:rPr>
        <w:t xml:space="preserve">[29]An example will illustrate the problem.  In the popular sense there is a monopoly if one person owns the only theatre in town.  That usually </w:t>
      </w:r>
      <w:r>
        <w:rPr>
          <w:rFonts w:ascii="Arial Unicode MS" w:eastAsia="Arial Unicode MS" w:hAnsi="Arial Unicode MS" w:cs="Arial Unicode MS"/>
          <w:b/>
          <w:color w:val="000000"/>
        </w:rPr>
        <w:t> [***1300] </w:t>
      </w:r>
      <w:r>
        <w:rPr>
          <w:rFonts w:ascii="Arial Unicode MS" w:eastAsia="Arial Unicode MS" w:hAnsi="Arial Unicode MS" w:cs="Arial Unicode MS"/>
          <w:color w:val="000000"/>
        </w:rPr>
        <w:t xml:space="preserve"> does not, however, constitute a violation of the Sherman Act. But as we noted in </w:t>
      </w:r>
      <w:r>
        <w:rPr>
          <w:rFonts w:ascii="Arial Unicode MS" w:eastAsia="Arial Unicode MS" w:hAnsi="Arial Unicode MS" w:cs="Arial Unicode MS"/>
          <w:i/>
          <w:color w:val="000000"/>
        </w:rPr>
        <w:t>United States</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 xml:space="preserve">Griffith, </w:t>
      </w:r>
      <w:r>
        <w:rPr>
          <w:rFonts w:ascii="Arial Unicode MS" w:eastAsia="Arial Unicode MS" w:hAnsi="Arial Unicode MS" w:cs="Arial Unicode MS"/>
          <w:i/>
          <w:color w:val="000000"/>
        </w:rPr>
        <w:lastRenderedPageBreak/>
        <w:t>ante</w:t>
      </w:r>
      <w:r>
        <w:rPr>
          <w:rFonts w:ascii="Arial Unicode MS" w:eastAsia="Arial Unicode MS" w:hAnsi="Arial Unicode MS" w:cs="Arial Unicode MS"/>
          <w:color w:val="000000"/>
        </w:rPr>
        <w:t xml:space="preserve">, p. 100, and see </w:t>
      </w:r>
      <w:proofErr w:type="spellStart"/>
      <w:r>
        <w:rPr>
          <w:rFonts w:ascii="Arial Unicode MS" w:eastAsia="Arial Unicode MS" w:hAnsi="Arial Unicode MS" w:cs="Arial Unicode MS"/>
          <w:i/>
          <w:color w:val="000000"/>
        </w:rPr>
        <w:t>Schine</w:t>
      </w:r>
      <w:proofErr w:type="spellEnd"/>
      <w:r>
        <w:rPr>
          <w:rFonts w:ascii="Arial Unicode MS" w:eastAsia="Arial Unicode MS" w:hAnsi="Arial Unicode MS" w:cs="Arial Unicode MS"/>
          <w:i/>
          <w:color w:val="000000"/>
        </w:rPr>
        <w:t xml:space="preserve"> Chain Theatres, Inc</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United States, ante</w:t>
      </w:r>
      <w:r>
        <w:rPr>
          <w:rFonts w:ascii="Arial Unicode MS" w:eastAsia="Arial Unicode MS" w:hAnsi="Arial Unicode MS" w:cs="Arial Unicode MS"/>
          <w:color w:val="000000"/>
        </w:rPr>
        <w:t xml:space="preserve">, p. 110, even such an ownership is vulnerable in a suit by the United States under the Sherman Act if the property was acquired, or its strategic position maintained, as a result of practices which constitute unreasonable restraints of trade.  Otherwise, there would be reward from the conspiracy through retention of its fruits.  Hence the problem of the District Court does not end with enjoining continuance of the unlawful restraints nor with dissolving the combination which launched the conspiracy. Its function includes undoing what the conspiracy achieved.  As we have discussed in </w:t>
      </w:r>
      <w:proofErr w:type="spellStart"/>
      <w:r>
        <w:rPr>
          <w:rFonts w:ascii="Arial Unicode MS" w:eastAsia="Arial Unicode MS" w:hAnsi="Arial Unicode MS" w:cs="Arial Unicode MS"/>
          <w:i/>
          <w:color w:val="000000"/>
        </w:rPr>
        <w:t>Schine</w:t>
      </w:r>
      <w:proofErr w:type="spellEnd"/>
      <w:r>
        <w:rPr>
          <w:rFonts w:ascii="Arial Unicode MS" w:eastAsia="Arial Unicode MS" w:hAnsi="Arial Unicode MS" w:cs="Arial Unicode MS"/>
          <w:i/>
          <w:color w:val="000000"/>
        </w:rPr>
        <w:t xml:space="preserve"> Chain Theatres, Inc</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United States, ante</w:t>
      </w:r>
      <w:r>
        <w:rPr>
          <w:rFonts w:ascii="Arial Unicode MS" w:eastAsia="Arial Unicode MS" w:hAnsi="Arial Unicode MS" w:cs="Arial Unicode MS"/>
          <w:color w:val="000000"/>
        </w:rPr>
        <w:t>, p. 110, the requirement that the defendants restore what they unlawfully obtained is no more punishment than the familiar</w:t>
      </w:r>
      <w:r>
        <w:rPr>
          <w:rFonts w:ascii="Arial Unicode MS" w:eastAsia="Arial Unicode MS" w:hAnsi="Arial Unicode MS" w:cs="Arial Unicode MS"/>
          <w:b/>
          <w:color w:val="000000"/>
        </w:rPr>
        <w:t> [****72] </w:t>
      </w:r>
      <w:r>
        <w:rPr>
          <w:rFonts w:ascii="Arial Unicode MS" w:eastAsia="Arial Unicode MS" w:hAnsi="Arial Unicode MS" w:cs="Arial Unicode MS"/>
          <w:color w:val="000000"/>
        </w:rPr>
        <w:t xml:space="preserve"> remedy </w:t>
      </w:r>
      <w:r>
        <w:rPr>
          <w:rFonts w:ascii="Arial Unicode MS" w:eastAsia="Arial Unicode MS" w:hAnsi="Arial Unicode MS" w:cs="Arial Unicode MS"/>
          <w:b/>
          <w:color w:val="000000"/>
        </w:rPr>
        <w:t> [*172] </w:t>
      </w:r>
      <w:r>
        <w:rPr>
          <w:rFonts w:ascii="Arial Unicode MS" w:eastAsia="Arial Unicode MS" w:hAnsi="Arial Unicode MS" w:cs="Arial Unicode MS"/>
          <w:color w:val="000000"/>
        </w:rPr>
        <w:t xml:space="preserve"> of restitution.  What findings would be warranted after such an inquiry in the present cases, we do not know.  For the findings of the District Court do not cover this point beyond stating that monopoly was an objective of the several restraints of trade that stand condemned. </w:t>
      </w:r>
    </w:p>
    <w:p w14:paraId="60AF73F6" w14:textId="77777777" w:rsidR="002F1BBD" w:rsidRDefault="00116564">
      <w:pPr>
        <w:spacing w:before="200" w:line="300" w:lineRule="atLeast"/>
        <w:jc w:val="both"/>
      </w:pPr>
      <w:bookmarkStart w:id="57" w:name="Bookmark_para_79"/>
      <w:bookmarkStart w:id="58" w:name="Bookmark_LEDHN30_1"/>
      <w:bookmarkEnd w:id="57"/>
      <w:bookmarkEnd w:id="58"/>
      <w:r>
        <w:rPr>
          <w:rFonts w:ascii="Arial Unicode MS" w:eastAsia="Arial Unicode MS" w:hAnsi="Arial Unicode MS" w:cs="Arial Unicode MS"/>
          <w:color w:val="000000"/>
        </w:rPr>
        <w:t xml:space="preserve">[30]Moreover, the problem under the Sherman Act is not solved merely by measuring monopoly in terms of size or extent of holdings or by concluding that single ownerships were not obtained "for the purpose of achieving a national monopoly." It is the relationship of the unreasonable restraints of trade to the position of the defendants in the exhibition field (and more particularly in the first-run phase of that business) that is of first importance on the divestiture phase of these cases.  That is the position we have taken in </w:t>
      </w:r>
      <w:proofErr w:type="spellStart"/>
      <w:r>
        <w:rPr>
          <w:rFonts w:ascii="Arial Unicode MS" w:eastAsia="Arial Unicode MS" w:hAnsi="Arial Unicode MS" w:cs="Arial Unicode MS"/>
          <w:i/>
          <w:color w:val="000000"/>
        </w:rPr>
        <w:t>Schine</w:t>
      </w:r>
      <w:proofErr w:type="spellEnd"/>
      <w:r>
        <w:rPr>
          <w:rFonts w:ascii="Arial Unicode MS" w:eastAsia="Arial Unicode MS" w:hAnsi="Arial Unicode MS" w:cs="Arial Unicode MS"/>
          <w:i/>
          <w:color w:val="000000"/>
        </w:rPr>
        <w:t xml:space="preserve"> Chain Theatres, Inc</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United States, ante</w:t>
      </w:r>
      <w:r>
        <w:rPr>
          <w:rFonts w:ascii="Arial Unicode MS" w:eastAsia="Arial Unicode MS" w:hAnsi="Arial Unicode MS" w:cs="Arial Unicode MS"/>
          <w:color w:val="000000"/>
        </w:rPr>
        <w:t>, p. 110, in dealing with a projection of the same conspiracy through certain large circuits.  Parity of treatment of the unaffiliated and the affiliated circuits requires the same approach here.  For the fruits of the conspiracy which</w:t>
      </w:r>
      <w:r>
        <w:rPr>
          <w:rFonts w:ascii="Arial Unicode MS" w:eastAsia="Arial Unicode MS" w:hAnsi="Arial Unicode MS" w:cs="Arial Unicode MS"/>
          <w:b/>
          <w:color w:val="000000"/>
        </w:rPr>
        <w:t> [****73] </w:t>
      </w:r>
      <w:r>
        <w:rPr>
          <w:rFonts w:ascii="Arial Unicode MS" w:eastAsia="Arial Unicode MS" w:hAnsi="Arial Unicode MS" w:cs="Arial Unicode MS"/>
          <w:color w:val="000000"/>
        </w:rPr>
        <w:t xml:space="preserve"> are denied the independents must also be denied the five majors.  In this connection there is a suggestion that one result of the conspiracy was a geographical division of territory among the five majors.  We mention it not to intimate that it is true but only to indicate the appropriate extent of the inquiry concerning the effect of the conspiracy in theatre ownership by the five majors. </w:t>
      </w:r>
    </w:p>
    <w:p w14:paraId="46009AE7" w14:textId="77777777" w:rsidR="002F1BBD" w:rsidRDefault="00116564">
      <w:pPr>
        <w:spacing w:before="240" w:line="300" w:lineRule="atLeast"/>
        <w:jc w:val="both"/>
      </w:pPr>
      <w:bookmarkStart w:id="59" w:name="Bookmark_para_80"/>
      <w:bookmarkStart w:id="60" w:name="Bookmark_LEDHN31_1"/>
      <w:bookmarkEnd w:id="59"/>
      <w:bookmarkEnd w:id="60"/>
      <w:r>
        <w:rPr>
          <w:rFonts w:ascii="Arial Unicode MS" w:eastAsia="Arial Unicode MS" w:hAnsi="Arial Unicode MS" w:cs="Arial Unicode MS"/>
          <w:color w:val="000000"/>
        </w:rPr>
        <w:t>[31]</w:t>
      </w:r>
      <w:bookmarkStart w:id="61" w:name="Bookmark_LEDHN32_1"/>
      <w:bookmarkEnd w:id="61"/>
      <w:r>
        <w:rPr>
          <w:rFonts w:ascii="Arial Unicode MS" w:eastAsia="Arial Unicode MS" w:hAnsi="Arial Unicode MS" w:cs="Arial Unicode MS"/>
          <w:color w:val="000000"/>
        </w:rPr>
        <w:t>[32]</w:t>
      </w:r>
      <w:bookmarkStart w:id="62" w:name="Bookmark_LEDHN33_1"/>
      <w:bookmarkEnd w:id="62"/>
      <w:r>
        <w:rPr>
          <w:rFonts w:ascii="Arial Unicode MS" w:eastAsia="Arial Unicode MS" w:hAnsi="Arial Unicode MS" w:cs="Arial Unicode MS"/>
          <w:color w:val="000000"/>
        </w:rPr>
        <w:t>[33]</w:t>
      </w:r>
      <w:bookmarkStart w:id="63" w:name="Bookmark_LEDHN34_1"/>
      <w:bookmarkEnd w:id="63"/>
      <w:r>
        <w:rPr>
          <w:rFonts w:ascii="Arial Unicode MS" w:eastAsia="Arial Unicode MS" w:hAnsi="Arial Unicode MS" w:cs="Arial Unicode MS"/>
          <w:color w:val="000000"/>
        </w:rPr>
        <w:t xml:space="preserve">[34]The findings of the District Court are deficient on that score and obscure on another.  The District Court in its findings speaks of the absence of a "purpose" on the part of any of the five majors to achieve a "national monopoly" in the exhibition of motion pictures. </w:t>
      </w:r>
      <w:bookmarkStart w:id="64" w:name="Bookmark_I4GBFMTX0K1MNJ3Y80000400"/>
      <w:bookmarkEnd w:id="64"/>
      <w:r>
        <w:rPr>
          <w:rFonts w:ascii="Arial Unicode MS" w:eastAsia="Arial Unicode MS" w:hAnsi="Arial Unicode MS" w:cs="Arial Unicode MS"/>
          <w:color w:val="000000"/>
        </w:rPr>
        <w:t xml:space="preserve">First, there is no finding as to the presence or absence of monopoly on the part of the five majors in the </w:t>
      </w:r>
      <w:r>
        <w:rPr>
          <w:rFonts w:ascii="Arial Unicode MS" w:eastAsia="Arial Unicode MS" w:hAnsi="Arial Unicode MS" w:cs="Arial Unicode MS"/>
          <w:i/>
          <w:color w:val="000000"/>
        </w:rPr>
        <w:t>first-run</w:t>
      </w:r>
      <w:r>
        <w:rPr>
          <w:rFonts w:ascii="Arial Unicode MS" w:eastAsia="Arial Unicode MS" w:hAnsi="Arial Unicode MS" w:cs="Arial Unicode MS"/>
          <w:color w:val="000000"/>
        </w:rPr>
        <w:t xml:space="preserve"> field for the entire country, in the </w:t>
      </w:r>
      <w:r>
        <w:rPr>
          <w:rFonts w:ascii="Arial Unicode MS" w:eastAsia="Arial Unicode MS" w:hAnsi="Arial Unicode MS" w:cs="Arial Unicode MS"/>
          <w:i/>
          <w:color w:val="000000"/>
        </w:rPr>
        <w:t>first-run</w:t>
      </w:r>
      <w:r>
        <w:rPr>
          <w:rFonts w:ascii="Arial Unicode MS" w:eastAsia="Arial Unicode MS" w:hAnsi="Arial Unicode MS" w:cs="Arial Unicode MS"/>
          <w:color w:val="000000"/>
        </w:rPr>
        <w:t xml:space="preserve"> field in the 92 largest cities of the country, </w:t>
      </w:r>
      <w:r>
        <w:rPr>
          <w:rFonts w:ascii="Arial Unicode MS" w:eastAsia="Arial Unicode MS" w:hAnsi="Arial Unicode MS" w:cs="Arial Unicode MS"/>
          <w:b/>
          <w:color w:val="000000"/>
        </w:rPr>
        <w:lastRenderedPageBreak/>
        <w:t> [****74] </w:t>
      </w:r>
      <w:r>
        <w:rPr>
          <w:rFonts w:ascii="Arial Unicode MS" w:eastAsia="Arial Unicode MS" w:hAnsi="Arial Unicode MS" w:cs="Arial Unicode MS"/>
          <w:color w:val="000000"/>
        </w:rPr>
        <w:t xml:space="preserve"> or in the </w:t>
      </w:r>
      <w:r>
        <w:rPr>
          <w:rFonts w:ascii="Arial Unicode MS" w:eastAsia="Arial Unicode MS" w:hAnsi="Arial Unicode MS" w:cs="Arial Unicode MS"/>
          <w:i/>
          <w:color w:val="000000"/>
        </w:rPr>
        <w:t>first-run</w:t>
      </w:r>
      <w:r>
        <w:rPr>
          <w:rFonts w:ascii="Arial Unicode MS" w:eastAsia="Arial Unicode MS" w:hAnsi="Arial Unicode MS" w:cs="Arial Unicode MS"/>
          <w:color w:val="000000"/>
        </w:rPr>
        <w:t xml:space="preserve"> field in separate localities.  Yet the </w:t>
      </w:r>
      <w:r>
        <w:rPr>
          <w:rFonts w:ascii="Arial Unicode MS" w:eastAsia="Arial Unicode MS" w:hAnsi="Arial Unicode MS" w:cs="Arial Unicode MS"/>
          <w:i/>
          <w:color w:val="000000"/>
        </w:rPr>
        <w:t>first-run</w:t>
      </w:r>
      <w:r>
        <w:rPr>
          <w:rFonts w:ascii="Arial Unicode MS" w:eastAsia="Arial Unicode MS" w:hAnsi="Arial Unicode MS" w:cs="Arial Unicode MS"/>
          <w:color w:val="000000"/>
        </w:rPr>
        <w:t xml:space="preserve"> field, which constitutes the cream of the </w:t>
      </w:r>
      <w:r>
        <w:rPr>
          <w:rFonts w:ascii="Arial Unicode MS" w:eastAsia="Arial Unicode MS" w:hAnsi="Arial Unicode MS" w:cs="Arial Unicode MS"/>
          <w:b/>
          <w:color w:val="000000"/>
        </w:rPr>
        <w:t> [*173] </w:t>
      </w:r>
      <w:r>
        <w:rPr>
          <w:rFonts w:ascii="Arial Unicode MS" w:eastAsia="Arial Unicode MS" w:hAnsi="Arial Unicode MS" w:cs="Arial Unicode MS"/>
          <w:color w:val="000000"/>
        </w:rPr>
        <w:t xml:space="preserve"> exhibition business, is the core of the present cases. </w:t>
      </w:r>
      <w:bookmarkStart w:id="65" w:name="Bookmark_I4GBFMTX0K1MNJ40D0000400"/>
      <w:bookmarkEnd w:id="65"/>
      <w:r>
        <w:rPr>
          <w:rFonts w:ascii="Arial Unicode MS" w:eastAsia="Arial Unicode MS" w:hAnsi="Arial Unicode MS" w:cs="Arial Unicode MS"/>
          <w:color w:val="000000"/>
        </w:rPr>
        <w:t xml:space="preserve"> Section 1 of the Sherman Act </w:t>
      </w:r>
      <w:bookmarkStart w:id="66" w:name="Bookmark_LNHNREFclscc12"/>
      <w:bookmarkEnd w:id="66"/>
      <w:r>
        <w:rPr>
          <w:rFonts w:ascii="Arial Unicode MS" w:eastAsia="Arial Unicode MS" w:hAnsi="Arial Unicode MS" w:cs="Arial Unicode MS"/>
          <w:color w:val="000000"/>
        </w:rPr>
        <w:t xml:space="preserve">outlaws unreasonable restraints irrespective of the amount of trade or commerce involved ( </w:t>
      </w:r>
      <w:bookmarkStart w:id="67" w:name="Bookmark_I4GBFMTX0K1MNJ3Y70000400"/>
      <w:bookmarkEnd w:id="67"/>
      <w:r>
        <w:fldChar w:fldCharType="begin"/>
      </w:r>
      <w:r>
        <w:instrText xml:space="preserve"> HYPERLINK "https://plus.lexis.com/api/document?collection=cases&amp;id=urn:contentItem:3S4X-7110-003B-72F4-00000-00&amp;context=1530671" </w:instrText>
      </w:r>
      <w:r>
        <w:fldChar w:fldCharType="separate"/>
      </w:r>
      <w:r>
        <w:rPr>
          <w:rFonts w:ascii="Arial Unicode MS" w:eastAsia="Arial Unicode MS" w:hAnsi="Arial Unicode MS" w:cs="Arial Unicode MS"/>
          <w:i/>
          <w:color w:val="0077CC"/>
          <w:u w:val="single"/>
          <w:shd w:val="clear" w:color="auto" w:fill="FFFFFF"/>
        </w:rPr>
        <w:t>United States</w:t>
      </w:r>
      <w:r>
        <w:rPr>
          <w:rFonts w:ascii="Arial Unicode MS" w:eastAsia="Arial Unicode MS" w:hAnsi="Arial Unicode MS" w:cs="Arial Unicode MS"/>
          <w:i/>
          <w:color w:val="0077CC"/>
          <w:u w:val="single"/>
          <w:shd w:val="clear" w:color="auto" w:fill="FFFFFF"/>
        </w:rPr>
        <w:fldChar w:fldCharType="end"/>
      </w:r>
      <w:hyperlink r:id="rId12" w:history="1">
        <w:r>
          <w:rPr>
            <w:rFonts w:ascii="Arial Unicode MS" w:eastAsia="Arial Unicode MS" w:hAnsi="Arial Unicode MS" w:cs="Arial Unicode MS"/>
            <w:i/>
            <w:color w:val="0077CC"/>
            <w:u w:val="single"/>
            <w:shd w:val="clear" w:color="auto" w:fill="FFFFFF"/>
          </w:rPr>
          <w:t xml:space="preserve"> v. </w:t>
        </w:r>
      </w:hyperlink>
      <w:hyperlink r:id="rId13" w:history="1">
        <w:r>
          <w:rPr>
            <w:rFonts w:ascii="Arial Unicode MS" w:eastAsia="Arial Unicode MS" w:hAnsi="Arial Unicode MS" w:cs="Arial Unicode MS"/>
            <w:i/>
            <w:color w:val="0077CC"/>
            <w:u w:val="single"/>
            <w:shd w:val="clear" w:color="auto" w:fill="FFFFFF"/>
          </w:rPr>
          <w:t>Socony-Vacuum Oil Co</w:t>
        </w:r>
      </w:hyperlink>
      <w:hyperlink r:id="rId14" w:history="1">
        <w:r>
          <w:rPr>
            <w:rFonts w:ascii="Arial Unicode MS" w:eastAsia="Arial Unicode MS" w:hAnsi="Arial Unicode MS" w:cs="Arial Unicode MS"/>
            <w:i/>
            <w:color w:val="0077CC"/>
            <w:u w:val="single"/>
            <w:shd w:val="clear" w:color="auto" w:fill="FFFFFF"/>
          </w:rPr>
          <w:t>., 310 U.S. 150, 224, 225, n. 59</w:t>
        </w:r>
      </w:hyperlink>
      <w:r>
        <w:rPr>
          <w:rFonts w:ascii="Arial Unicode MS" w:eastAsia="Arial Unicode MS" w:hAnsi="Arial Unicode MS" w:cs="Arial Unicode MS"/>
          <w:color w:val="000000"/>
        </w:rPr>
        <w:t xml:space="preserve">), and </w:t>
      </w:r>
      <w:hyperlink r:id="rId15" w:history="1">
        <w:r>
          <w:rPr>
            <w:rFonts w:ascii="Arial Unicode MS" w:eastAsia="Arial Unicode MS" w:hAnsi="Arial Unicode MS" w:cs="Arial Unicode MS"/>
            <w:i/>
            <w:color w:val="0077CC"/>
            <w:u w:val="single"/>
            <w:shd w:val="clear" w:color="auto" w:fill="FFFFFF"/>
          </w:rPr>
          <w:t>§ 2</w:t>
        </w:r>
      </w:hyperlink>
      <w:r>
        <w:rPr>
          <w:rFonts w:ascii="Arial Unicode MS" w:eastAsia="Arial Unicode MS" w:hAnsi="Arial Unicode MS" w:cs="Arial Unicode MS"/>
          <w:color w:val="000000"/>
        </w:rPr>
        <w:t xml:space="preserve"> condemns monopoly of "any part" of trade or commerce.  </w:t>
      </w:r>
      <w:bookmarkStart w:id="68" w:name="Bookmark_I4GBFMTX0K1MNJ40D0000400_2"/>
      <w:bookmarkEnd w:id="68"/>
      <w:r>
        <w:rPr>
          <w:rFonts w:ascii="Arial Unicode MS" w:eastAsia="Arial Unicode MS" w:hAnsi="Arial Unicode MS" w:cs="Arial Unicode MS"/>
          <w:color w:val="000000"/>
        </w:rPr>
        <w:t xml:space="preserve">"Any part" is construed </w:t>
      </w:r>
      <w:r>
        <w:rPr>
          <w:rFonts w:ascii="Arial Unicode MS" w:eastAsia="Arial Unicode MS" w:hAnsi="Arial Unicode MS" w:cs="Arial Unicode MS"/>
          <w:b/>
          <w:color w:val="000000"/>
        </w:rPr>
        <w:t> [**937] </w:t>
      </w:r>
      <w:r>
        <w:rPr>
          <w:rFonts w:ascii="Arial Unicode MS" w:eastAsia="Arial Unicode MS" w:hAnsi="Arial Unicode MS" w:cs="Arial Unicode MS"/>
          <w:color w:val="000000"/>
        </w:rPr>
        <w:t xml:space="preserve"> to mean an appreciable part of interstate or foreign trade or commerce.  </w:t>
      </w:r>
      <w:bookmarkStart w:id="69" w:name="Bookmark_I4GBFMTX0K1MNJ40C0000400"/>
      <w:bookmarkEnd w:id="69"/>
      <w:r>
        <w:fldChar w:fldCharType="begin"/>
      </w:r>
      <w:r>
        <w:instrText xml:space="preserve"> HYPERLINK "https://plus.lexis.com/api/document?collection=cases&amp;id=urn:contentItem:3S4X-JTV0-003B-S04W-00000-00&amp;context=1530671" </w:instrText>
      </w:r>
      <w:r>
        <w:fldChar w:fldCharType="separate"/>
      </w:r>
      <w:r>
        <w:rPr>
          <w:rFonts w:ascii="Arial Unicode MS" w:eastAsia="Arial Unicode MS" w:hAnsi="Arial Unicode MS" w:cs="Arial Unicode MS"/>
          <w:i/>
          <w:color w:val="0077CC"/>
          <w:u w:val="single"/>
          <w:shd w:val="clear" w:color="auto" w:fill="FFFFFF"/>
        </w:rPr>
        <w:t>United States</w:t>
      </w:r>
      <w:r>
        <w:rPr>
          <w:rFonts w:ascii="Arial Unicode MS" w:eastAsia="Arial Unicode MS" w:hAnsi="Arial Unicode MS" w:cs="Arial Unicode MS"/>
          <w:i/>
          <w:color w:val="0077CC"/>
          <w:u w:val="single"/>
          <w:shd w:val="clear" w:color="auto" w:fill="FFFFFF"/>
        </w:rPr>
        <w:fldChar w:fldCharType="end"/>
      </w:r>
      <w:hyperlink r:id="rId16" w:history="1">
        <w:r>
          <w:rPr>
            <w:rFonts w:ascii="Arial Unicode MS" w:eastAsia="Arial Unicode MS" w:hAnsi="Arial Unicode MS" w:cs="Arial Unicode MS"/>
            <w:i/>
            <w:color w:val="0077CC"/>
            <w:u w:val="single"/>
            <w:shd w:val="clear" w:color="auto" w:fill="FFFFFF"/>
          </w:rPr>
          <w:t xml:space="preserve"> v. </w:t>
        </w:r>
      </w:hyperlink>
      <w:hyperlink r:id="rId17" w:history="1">
        <w:r>
          <w:rPr>
            <w:rFonts w:ascii="Arial Unicode MS" w:eastAsia="Arial Unicode MS" w:hAnsi="Arial Unicode MS" w:cs="Arial Unicode MS"/>
            <w:i/>
            <w:color w:val="0077CC"/>
            <w:u w:val="single"/>
            <w:shd w:val="clear" w:color="auto" w:fill="FFFFFF"/>
          </w:rPr>
          <w:t>Yellow Cab Co</w:t>
        </w:r>
      </w:hyperlink>
      <w:hyperlink r:id="rId18" w:history="1">
        <w:r>
          <w:rPr>
            <w:rFonts w:ascii="Arial Unicode MS" w:eastAsia="Arial Unicode MS" w:hAnsi="Arial Unicode MS" w:cs="Arial Unicode MS"/>
            <w:i/>
            <w:color w:val="0077CC"/>
            <w:u w:val="single"/>
            <w:shd w:val="clear" w:color="auto" w:fill="FFFFFF"/>
          </w:rPr>
          <w:t>., 332 U.S. 218, 225</w:t>
        </w:r>
      </w:hyperlink>
      <w:r>
        <w:rPr>
          <w:rFonts w:ascii="Arial Unicode MS" w:eastAsia="Arial Unicode MS" w:hAnsi="Arial Unicode MS" w:cs="Arial Unicode MS"/>
          <w:color w:val="000000"/>
        </w:rPr>
        <w:t xml:space="preserve">. Second, we pointed out in </w:t>
      </w:r>
      <w:r>
        <w:rPr>
          <w:rFonts w:ascii="Arial Unicode MS" w:eastAsia="Arial Unicode MS" w:hAnsi="Arial Unicode MS" w:cs="Arial Unicode MS"/>
          <w:i/>
          <w:color w:val="000000"/>
        </w:rPr>
        <w:t>United States</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Griffith, ante</w:t>
      </w:r>
      <w:r>
        <w:rPr>
          <w:rFonts w:ascii="Arial Unicode MS" w:eastAsia="Arial Unicode MS" w:hAnsi="Arial Unicode MS" w:cs="Arial Unicode MS"/>
          <w:color w:val="000000"/>
        </w:rPr>
        <w:t xml:space="preserve">, p. 100, that </w:t>
      </w:r>
      <w:bookmarkStart w:id="70" w:name="Bookmark_LNHNREFclscc13"/>
      <w:bookmarkEnd w:id="70"/>
      <w:r>
        <w:rPr>
          <w:rFonts w:ascii="Arial Unicode MS" w:eastAsia="Arial Unicode MS" w:hAnsi="Arial Unicode MS" w:cs="Arial Unicode MS"/>
          <w:color w:val="000000"/>
        </w:rPr>
        <w:t xml:space="preserve">"specific intent" is not necessary to establish a "purpose or </w:t>
      </w:r>
      <w:r>
        <w:rPr>
          <w:rFonts w:ascii="Arial Unicode MS" w:eastAsia="Arial Unicode MS" w:hAnsi="Arial Unicode MS" w:cs="Arial Unicode MS"/>
          <w:b/>
          <w:color w:val="000000"/>
        </w:rPr>
        <w:t> [***1301] </w:t>
      </w:r>
      <w:r>
        <w:rPr>
          <w:rFonts w:ascii="Arial Unicode MS" w:eastAsia="Arial Unicode MS" w:hAnsi="Arial Unicode MS" w:cs="Arial Unicode MS"/>
          <w:color w:val="000000"/>
        </w:rPr>
        <w:t xml:space="preserve"> intent" to create a monopoly but that the requisite "purpose or intent" is present if monopoly results as a necessary consequence of what was done.  The findings of the District Court on this phase of the</w:t>
      </w:r>
      <w:r>
        <w:rPr>
          <w:rFonts w:ascii="Arial Unicode MS" w:eastAsia="Arial Unicode MS" w:hAnsi="Arial Unicode MS" w:cs="Arial Unicode MS"/>
          <w:b/>
          <w:color w:val="000000"/>
        </w:rPr>
        <w:t> [****75] </w:t>
      </w:r>
      <w:r>
        <w:rPr>
          <w:rFonts w:ascii="Arial Unicode MS" w:eastAsia="Arial Unicode MS" w:hAnsi="Arial Unicode MS" w:cs="Arial Unicode MS"/>
          <w:color w:val="000000"/>
        </w:rPr>
        <w:t xml:space="preserve"> cases are not clear, though we take them to mean by the absence of "purpose" the absence of a specific intent. </w:t>
      </w:r>
      <w:bookmarkStart w:id="71" w:name="Bookmark_I4GBFMTX0K1MNJ40G0000400"/>
      <w:bookmarkEnd w:id="71"/>
      <w:r>
        <w:rPr>
          <w:rFonts w:ascii="Arial Unicode MS" w:eastAsia="Arial Unicode MS" w:hAnsi="Arial Unicode MS" w:cs="Arial Unicode MS"/>
          <w:color w:val="000000"/>
        </w:rPr>
        <w:t xml:space="preserve"> So construed they are inconclusive.  In any event they are ambiguous and must be recast on remand of the cases.  Third, </w:t>
      </w:r>
      <w:bookmarkStart w:id="72" w:name="Bookmark_LNHNREFclscc14"/>
      <w:bookmarkEnd w:id="72"/>
      <w:r>
        <w:rPr>
          <w:rFonts w:ascii="Arial Unicode MS" w:eastAsia="Arial Unicode MS" w:hAnsi="Arial Unicode MS" w:cs="Arial Unicode MS"/>
          <w:color w:val="000000"/>
        </w:rPr>
        <w:t xml:space="preserve">monopoly power, whether lawfully or unlawfully acquired, may violate </w:t>
      </w:r>
      <w:hyperlink r:id="rId19" w:history="1">
        <w:r>
          <w:rPr>
            <w:rFonts w:ascii="Arial Unicode MS" w:eastAsia="Arial Unicode MS" w:hAnsi="Arial Unicode MS" w:cs="Arial Unicode MS"/>
            <w:i/>
            <w:color w:val="0077CC"/>
            <w:u w:val="single"/>
            <w:shd w:val="clear" w:color="auto" w:fill="FFFFFF"/>
          </w:rPr>
          <w:t>§ 2</w:t>
        </w:r>
      </w:hyperlink>
      <w:r>
        <w:rPr>
          <w:rFonts w:ascii="Arial Unicode MS" w:eastAsia="Arial Unicode MS" w:hAnsi="Arial Unicode MS" w:cs="Arial Unicode MS"/>
          <w:color w:val="000000"/>
        </w:rPr>
        <w:t xml:space="preserve"> of the Sherman Act though it remains unexercised (</w:t>
      </w:r>
      <w:r>
        <w:rPr>
          <w:rFonts w:ascii="Arial Unicode MS" w:eastAsia="Arial Unicode MS" w:hAnsi="Arial Unicode MS" w:cs="Arial Unicode MS"/>
          <w:i/>
          <w:color w:val="000000"/>
        </w:rPr>
        <w:t>United States</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Griffith, ante</w:t>
      </w:r>
      <w:r>
        <w:rPr>
          <w:rFonts w:ascii="Arial Unicode MS" w:eastAsia="Arial Unicode MS" w:hAnsi="Arial Unicode MS" w:cs="Arial Unicode MS"/>
          <w:color w:val="000000"/>
        </w:rPr>
        <w:t xml:space="preserve">, p. 100), for </w:t>
      </w:r>
      <w:r>
        <w:rPr>
          <w:rFonts w:ascii="Arial Unicode MS" w:eastAsia="Arial Unicode MS" w:hAnsi="Arial Unicode MS" w:cs="Arial Unicode MS"/>
          <w:b/>
          <w:color w:val="000000"/>
        </w:rPr>
        <w:t> [259] </w:t>
      </w:r>
      <w:r>
        <w:rPr>
          <w:rFonts w:ascii="Arial Unicode MS" w:eastAsia="Arial Unicode MS" w:hAnsi="Arial Unicode MS" w:cs="Arial Unicode MS"/>
          <w:color w:val="000000"/>
        </w:rPr>
        <w:t xml:space="preserve"> as we stated in </w:t>
      </w:r>
      <w:r>
        <w:rPr>
          <w:rFonts w:ascii="Arial Unicode MS" w:eastAsia="Arial Unicode MS" w:hAnsi="Arial Unicode MS" w:cs="Arial Unicode MS"/>
          <w:i/>
          <w:color w:val="000000"/>
        </w:rPr>
        <w:t>American Tobacco Co</w:t>
      </w:r>
      <w:r>
        <w:rPr>
          <w:rFonts w:ascii="Arial Unicode MS" w:eastAsia="Arial Unicode MS" w:hAnsi="Arial Unicode MS" w:cs="Arial Unicode MS"/>
          <w:color w:val="000000"/>
        </w:rPr>
        <w:t xml:space="preserve">. v. </w:t>
      </w:r>
      <w:bookmarkStart w:id="73" w:name="Bookmark_I4GBFMTX0K1MNJ40F0000400"/>
      <w:bookmarkEnd w:id="73"/>
      <w:r>
        <w:fldChar w:fldCharType="begin"/>
      </w:r>
      <w:r>
        <w:instrText xml:space="preserve"> HYPERLINK "https://plus.lexis.com/api/document?collection=cases&amp;id=urn:contentItem:3S4X-JX10-003B-S29W-00000-00&amp;context=1530671" </w:instrText>
      </w:r>
      <w:r>
        <w:fldChar w:fldCharType="separate"/>
      </w:r>
      <w:r>
        <w:rPr>
          <w:rFonts w:ascii="Arial Unicode MS" w:eastAsia="Arial Unicode MS" w:hAnsi="Arial Unicode MS" w:cs="Arial Unicode MS"/>
          <w:i/>
          <w:color w:val="0077CC"/>
          <w:u w:val="single"/>
          <w:shd w:val="clear" w:color="auto" w:fill="FFFFFF"/>
        </w:rPr>
        <w:t>United States</w:t>
      </w:r>
      <w:r>
        <w:rPr>
          <w:rFonts w:ascii="Arial Unicode MS" w:eastAsia="Arial Unicode MS" w:hAnsi="Arial Unicode MS" w:cs="Arial Unicode MS"/>
          <w:i/>
          <w:color w:val="0077CC"/>
          <w:u w:val="single"/>
          <w:shd w:val="clear" w:color="auto" w:fill="FFFFFF"/>
        </w:rPr>
        <w:fldChar w:fldCharType="end"/>
      </w:r>
      <w:hyperlink r:id="rId20" w:history="1">
        <w:r>
          <w:rPr>
            <w:rFonts w:ascii="Arial Unicode MS" w:eastAsia="Arial Unicode MS" w:hAnsi="Arial Unicode MS" w:cs="Arial Unicode MS"/>
            <w:i/>
            <w:color w:val="0077CC"/>
            <w:u w:val="single"/>
            <w:shd w:val="clear" w:color="auto" w:fill="FFFFFF"/>
          </w:rPr>
          <w:t>, 328 U.S. 781, 809, 811</w:t>
        </w:r>
      </w:hyperlink>
      <w:r>
        <w:rPr>
          <w:rFonts w:ascii="Arial Unicode MS" w:eastAsia="Arial Unicode MS" w:hAnsi="Arial Unicode MS" w:cs="Arial Unicode MS"/>
          <w:color w:val="000000"/>
        </w:rPr>
        <w:t xml:space="preserve">, the existence of power "to exclude competition when it is desired to do so" is itself a violation of </w:t>
      </w:r>
      <w:hyperlink r:id="rId21" w:history="1">
        <w:r>
          <w:rPr>
            <w:rFonts w:ascii="Arial Unicode MS" w:eastAsia="Arial Unicode MS" w:hAnsi="Arial Unicode MS" w:cs="Arial Unicode MS"/>
            <w:i/>
            <w:color w:val="0077CC"/>
            <w:u w:val="single"/>
            <w:shd w:val="clear" w:color="auto" w:fill="FFFFFF"/>
          </w:rPr>
          <w:t>§ 2</w:t>
        </w:r>
      </w:hyperlink>
      <w:r>
        <w:rPr>
          <w:rFonts w:ascii="Arial Unicode MS" w:eastAsia="Arial Unicode MS" w:hAnsi="Arial Unicode MS" w:cs="Arial Unicode MS"/>
          <w:color w:val="000000"/>
        </w:rPr>
        <w:t xml:space="preserve">, provided it is coupled with the purpose or intent to exercise that power.  The District Court, being primarily concerned with the number and extent of the theatre holdings of defendants, did not address itself to this phase of the monopoly problem. </w:t>
      </w:r>
      <w:bookmarkStart w:id="74" w:name="Bookmark_I4GBFMTX0K1MNJ41M0000400"/>
      <w:bookmarkEnd w:id="74"/>
      <w:r>
        <w:rPr>
          <w:rFonts w:ascii="Arial Unicode MS" w:eastAsia="Arial Unicode MS" w:hAnsi="Arial Unicode MS" w:cs="Arial Unicode MS"/>
          <w:color w:val="000000"/>
        </w:rPr>
        <w:t xml:space="preserve"> Here also, parity of treatment as between independents and the five majors as theatre owners, who were tied into the same general conspiracy, necessitates consideration of this question. </w:t>
      </w:r>
    </w:p>
    <w:p w14:paraId="20437765" w14:textId="77777777" w:rsidR="002F1BBD" w:rsidRDefault="002F1BBD"/>
    <w:p w14:paraId="5748319C" w14:textId="77777777" w:rsidR="002F1BBD" w:rsidRDefault="00116564">
      <w:pPr>
        <w:spacing w:before="240" w:line="300" w:lineRule="atLeast"/>
        <w:jc w:val="both"/>
      </w:pPr>
      <w:bookmarkStart w:id="75" w:name="Bookmark_LEDHN35_1"/>
      <w:bookmarkEnd w:id="75"/>
      <w:r>
        <w:rPr>
          <w:rFonts w:ascii="Arial Unicode MS" w:eastAsia="Arial Unicode MS" w:hAnsi="Arial Unicode MS" w:cs="Arial Unicode MS"/>
          <w:color w:val="000000"/>
        </w:rPr>
        <w:t>[35]</w:t>
      </w:r>
      <w:r>
        <w:rPr>
          <w:rFonts w:ascii="Arial Unicode MS" w:eastAsia="Arial Unicode MS" w:hAnsi="Arial Unicode MS" w:cs="Arial Unicode MS"/>
          <w:b/>
          <w:color w:val="000000"/>
        </w:rPr>
        <w:t> [****76] </w:t>
      </w:r>
      <w:bookmarkStart w:id="76" w:name="Bookmark_LEDHN36_1"/>
      <w:bookmarkEnd w:id="76"/>
      <w:r>
        <w:rPr>
          <w:rFonts w:ascii="Arial Unicode MS" w:eastAsia="Arial Unicode MS" w:hAnsi="Arial Unicode MS" w:cs="Arial Unicode MS"/>
          <w:color w:val="000000"/>
        </w:rPr>
        <w:t xml:space="preserve">[36]Exploration of these phases of the cases would not be necessary if, as the Department of Justice argues, vertical integration of producing, distributing and exhibiting </w:t>
      </w:r>
      <w:r>
        <w:rPr>
          <w:rFonts w:ascii="Arial Unicode MS" w:eastAsia="Arial Unicode MS" w:hAnsi="Arial Unicode MS" w:cs="Arial Unicode MS"/>
          <w:b/>
          <w:color w:val="000000"/>
        </w:rPr>
        <w:t> [*174] </w:t>
      </w:r>
      <w:r>
        <w:rPr>
          <w:rFonts w:ascii="Arial Unicode MS" w:eastAsia="Arial Unicode MS" w:hAnsi="Arial Unicode MS" w:cs="Arial Unicode MS"/>
          <w:color w:val="000000"/>
        </w:rPr>
        <w:t xml:space="preserve"> motion pictures is illegal </w:t>
      </w:r>
      <w:r>
        <w:rPr>
          <w:rFonts w:ascii="Arial Unicode MS" w:eastAsia="Arial Unicode MS" w:hAnsi="Arial Unicode MS" w:cs="Arial Unicode MS"/>
          <w:i/>
          <w:color w:val="000000"/>
        </w:rPr>
        <w:t>per se</w:t>
      </w:r>
      <w:r>
        <w:rPr>
          <w:rFonts w:ascii="Arial Unicode MS" w:eastAsia="Arial Unicode MS" w:hAnsi="Arial Unicode MS" w:cs="Arial Unicode MS"/>
          <w:color w:val="000000"/>
        </w:rPr>
        <w:t xml:space="preserve">.  But the majority of the Court does not take that view.  In the opinion of the majority </w:t>
      </w:r>
      <w:bookmarkStart w:id="77" w:name="Bookmark_LNHNREFclscc15"/>
      <w:bookmarkEnd w:id="77"/>
      <w:r>
        <w:rPr>
          <w:rFonts w:ascii="Arial Unicode MS" w:eastAsia="Arial Unicode MS" w:hAnsi="Arial Unicode MS" w:cs="Arial Unicode MS"/>
          <w:color w:val="000000"/>
        </w:rPr>
        <w:t xml:space="preserve">the legality of vertical integration under the Sherman Act turns on (1) the purpose or intent with which it was conceived, or (2) the power it creates and the attendant purpose or intent. </w:t>
      </w:r>
      <w:bookmarkStart w:id="78" w:name="Bookmark_I4GBFMTX0K1MNJ41S0000400"/>
      <w:bookmarkEnd w:id="78"/>
      <w:r>
        <w:rPr>
          <w:rFonts w:ascii="Arial Unicode MS" w:eastAsia="Arial Unicode MS" w:hAnsi="Arial Unicode MS" w:cs="Arial Unicode MS"/>
          <w:color w:val="000000"/>
        </w:rPr>
        <w:t xml:space="preserve"> First, it runs afoul of the Sherman Act if it was a calculated scheme to gain control over an appreciable segment of the market and to restrain or suppress competition, rather than an expansion to meet legitimate business needs.  </w:t>
      </w:r>
      <w:bookmarkStart w:id="79" w:name="Bookmark_I4GBFMTX0K1MNJ40H0000400"/>
      <w:bookmarkEnd w:id="79"/>
      <w:r>
        <w:fldChar w:fldCharType="begin"/>
      </w:r>
      <w:r>
        <w:instrText xml:space="preserve"> HYPERLINK "https://plus.lexis.com/api/document?collection=cases&amp;id=urn:contentItem:3S4X-55K0-003B-H45F-00000-00&amp;context=1530671" </w:instrText>
      </w:r>
      <w:r>
        <w:fldChar w:fldCharType="separate"/>
      </w:r>
      <w:r>
        <w:rPr>
          <w:rFonts w:ascii="Arial Unicode MS" w:eastAsia="Arial Unicode MS" w:hAnsi="Arial Unicode MS" w:cs="Arial Unicode MS"/>
          <w:i/>
          <w:color w:val="0077CC"/>
          <w:u w:val="single"/>
          <w:shd w:val="clear" w:color="auto" w:fill="FFFFFF"/>
        </w:rPr>
        <w:t>United States</w:t>
      </w:r>
      <w:r>
        <w:rPr>
          <w:rFonts w:ascii="Arial Unicode MS" w:eastAsia="Arial Unicode MS" w:hAnsi="Arial Unicode MS" w:cs="Arial Unicode MS"/>
          <w:i/>
          <w:color w:val="0077CC"/>
          <w:u w:val="single"/>
          <w:shd w:val="clear" w:color="auto" w:fill="FFFFFF"/>
        </w:rPr>
        <w:fldChar w:fldCharType="end"/>
      </w:r>
      <w:hyperlink r:id="rId22" w:history="1">
        <w:r>
          <w:rPr>
            <w:rFonts w:ascii="Arial Unicode MS" w:eastAsia="Arial Unicode MS" w:hAnsi="Arial Unicode MS" w:cs="Arial Unicode MS"/>
            <w:i/>
            <w:color w:val="0077CC"/>
            <w:u w:val="single"/>
            <w:shd w:val="clear" w:color="auto" w:fill="FFFFFF"/>
          </w:rPr>
          <w:t xml:space="preserve"> v. </w:t>
        </w:r>
      </w:hyperlink>
      <w:hyperlink r:id="rId23" w:history="1">
        <w:r>
          <w:rPr>
            <w:rFonts w:ascii="Arial Unicode MS" w:eastAsia="Arial Unicode MS" w:hAnsi="Arial Unicode MS" w:cs="Arial Unicode MS"/>
            <w:i/>
            <w:color w:val="0077CC"/>
            <w:u w:val="single"/>
            <w:shd w:val="clear" w:color="auto" w:fill="FFFFFF"/>
          </w:rPr>
          <w:t>Reading Co</w:t>
        </w:r>
      </w:hyperlink>
      <w:hyperlink r:id="rId24" w:history="1">
        <w:r>
          <w:rPr>
            <w:rFonts w:ascii="Arial Unicode MS" w:eastAsia="Arial Unicode MS" w:hAnsi="Arial Unicode MS" w:cs="Arial Unicode MS"/>
            <w:i/>
            <w:color w:val="0077CC"/>
            <w:u w:val="single"/>
            <w:shd w:val="clear" w:color="auto" w:fill="FFFFFF"/>
          </w:rPr>
          <w:t>., 253 U.S. 26, 57</w:t>
        </w:r>
      </w:hyperlink>
      <w:r>
        <w:rPr>
          <w:rFonts w:ascii="Arial Unicode MS" w:eastAsia="Arial Unicode MS" w:hAnsi="Arial Unicode MS" w:cs="Arial Unicode MS"/>
          <w:color w:val="000000"/>
        </w:rPr>
        <w:t xml:space="preserve">; </w:t>
      </w:r>
      <w:bookmarkStart w:id="80" w:name="Bookmark_I4GBFMTX0K1MNJ41N0000400"/>
      <w:bookmarkEnd w:id="80"/>
      <w:r>
        <w:fldChar w:fldCharType="begin"/>
      </w:r>
      <w:r>
        <w:instrText xml:space="preserve"> HYPERLINK "https://plus.lexis.com/api/document?collection=cases&amp;id=urn:contentItem:3S4X-5020-003B-H3RV-00000-00&amp;context=1530671" </w:instrText>
      </w:r>
      <w:r>
        <w:fldChar w:fldCharType="separate"/>
      </w:r>
      <w:r>
        <w:rPr>
          <w:rFonts w:ascii="Arial Unicode MS" w:eastAsia="Arial Unicode MS" w:hAnsi="Arial Unicode MS" w:cs="Arial Unicode MS"/>
          <w:i/>
          <w:color w:val="0077CC"/>
          <w:u w:val="single"/>
          <w:shd w:val="clear" w:color="auto" w:fill="FFFFFF"/>
        </w:rPr>
        <w:t>United States</w:t>
      </w:r>
      <w:r>
        <w:rPr>
          <w:rFonts w:ascii="Arial Unicode MS" w:eastAsia="Arial Unicode MS" w:hAnsi="Arial Unicode MS" w:cs="Arial Unicode MS"/>
          <w:i/>
          <w:color w:val="0077CC"/>
          <w:u w:val="single"/>
          <w:shd w:val="clear" w:color="auto" w:fill="FFFFFF"/>
        </w:rPr>
        <w:fldChar w:fldCharType="end"/>
      </w:r>
      <w:hyperlink r:id="rId25" w:history="1">
        <w:r>
          <w:rPr>
            <w:rFonts w:ascii="Arial Unicode MS" w:eastAsia="Arial Unicode MS" w:hAnsi="Arial Unicode MS" w:cs="Arial Unicode MS"/>
            <w:i/>
            <w:color w:val="0077CC"/>
            <w:u w:val="single"/>
            <w:shd w:val="clear" w:color="auto" w:fill="FFFFFF"/>
          </w:rPr>
          <w:t xml:space="preserve"> v. </w:t>
        </w:r>
      </w:hyperlink>
      <w:hyperlink r:id="rId26" w:history="1">
        <w:r>
          <w:rPr>
            <w:rFonts w:ascii="Arial Unicode MS" w:eastAsia="Arial Unicode MS" w:hAnsi="Arial Unicode MS" w:cs="Arial Unicode MS"/>
            <w:i/>
            <w:color w:val="0077CC"/>
            <w:u w:val="single"/>
            <w:shd w:val="clear" w:color="auto" w:fill="FFFFFF"/>
          </w:rPr>
          <w:t>Lehigh Valley R. Co</w:t>
        </w:r>
      </w:hyperlink>
      <w:hyperlink r:id="rId27" w:history="1">
        <w:r>
          <w:rPr>
            <w:rFonts w:ascii="Arial Unicode MS" w:eastAsia="Arial Unicode MS" w:hAnsi="Arial Unicode MS" w:cs="Arial Unicode MS"/>
            <w:i/>
            <w:color w:val="0077CC"/>
            <w:u w:val="single"/>
            <w:shd w:val="clear" w:color="auto" w:fill="FFFFFF"/>
          </w:rPr>
          <w:t>., 254 U.S. 255, 269-270</w:t>
        </w:r>
      </w:hyperlink>
      <w:r>
        <w:rPr>
          <w:rFonts w:ascii="Arial Unicode MS" w:eastAsia="Arial Unicode MS" w:hAnsi="Arial Unicode MS" w:cs="Arial Unicode MS"/>
          <w:color w:val="000000"/>
        </w:rPr>
        <w:t xml:space="preserve">. </w:t>
      </w:r>
      <w:bookmarkStart w:id="81" w:name="Bookmark_I4GBFMTX0K1MNJ41S0000400_2"/>
      <w:bookmarkEnd w:id="81"/>
      <w:r>
        <w:rPr>
          <w:rFonts w:ascii="Arial Unicode MS" w:eastAsia="Arial Unicode MS" w:hAnsi="Arial Unicode MS" w:cs="Arial Unicode MS"/>
          <w:color w:val="000000"/>
        </w:rPr>
        <w:t xml:space="preserve">Second, a vertically integrated enterprise, like other aggregations of business units ( </w:t>
      </w:r>
      <w:bookmarkStart w:id="82" w:name="Bookmark_I4GBFMTX0K1MNJ41R0000400"/>
      <w:bookmarkEnd w:id="82"/>
      <w:r>
        <w:fldChar w:fldCharType="begin"/>
      </w:r>
      <w:r>
        <w:instrText xml:space="preserve"> HYPERLINK "https://plus.lexis.com/api/document?collection=cases&amp;id=urn:contentItem:3S4X-4XC0-003B-027W-00000-00&amp;context=1530671" </w:instrText>
      </w:r>
      <w:r>
        <w:fldChar w:fldCharType="separate"/>
      </w:r>
      <w:r>
        <w:rPr>
          <w:rFonts w:ascii="Arial Unicode MS" w:eastAsia="Arial Unicode MS" w:hAnsi="Arial Unicode MS" w:cs="Arial Unicode MS"/>
          <w:i/>
          <w:color w:val="0077CC"/>
          <w:u w:val="single"/>
          <w:shd w:val="clear" w:color="auto" w:fill="FFFFFF"/>
        </w:rPr>
        <w:t>United States</w:t>
      </w:r>
      <w:r>
        <w:rPr>
          <w:rFonts w:ascii="Arial Unicode MS" w:eastAsia="Arial Unicode MS" w:hAnsi="Arial Unicode MS" w:cs="Arial Unicode MS"/>
          <w:i/>
          <w:color w:val="0077CC"/>
          <w:u w:val="single"/>
          <w:shd w:val="clear" w:color="auto" w:fill="FFFFFF"/>
        </w:rPr>
        <w:fldChar w:fldCharType="end"/>
      </w:r>
      <w:hyperlink r:id="rId28" w:history="1">
        <w:r>
          <w:rPr>
            <w:rFonts w:ascii="Arial Unicode MS" w:eastAsia="Arial Unicode MS" w:hAnsi="Arial Unicode MS" w:cs="Arial Unicode MS"/>
            <w:i/>
            <w:color w:val="0077CC"/>
            <w:u w:val="single"/>
            <w:shd w:val="clear" w:color="auto" w:fill="FFFFFF"/>
          </w:rPr>
          <w:t xml:space="preserve"> v. </w:t>
        </w:r>
      </w:hyperlink>
      <w:hyperlink r:id="rId29" w:history="1">
        <w:r>
          <w:rPr>
            <w:rFonts w:ascii="Arial Unicode MS" w:eastAsia="Arial Unicode MS" w:hAnsi="Arial Unicode MS" w:cs="Arial Unicode MS"/>
            <w:i/>
            <w:color w:val="0077CC"/>
            <w:u w:val="single"/>
            <w:shd w:val="clear" w:color="auto" w:fill="FFFFFF"/>
          </w:rPr>
          <w:t xml:space="preserve">Aluminum Co. </w:t>
        </w:r>
        <w:r>
          <w:rPr>
            <w:rFonts w:ascii="Arial Unicode MS" w:eastAsia="Arial Unicode MS" w:hAnsi="Arial Unicode MS" w:cs="Arial Unicode MS"/>
            <w:i/>
            <w:color w:val="0077CC"/>
            <w:u w:val="single"/>
            <w:shd w:val="clear" w:color="auto" w:fill="FFFFFF"/>
          </w:rPr>
          <w:lastRenderedPageBreak/>
          <w:t>of America</w:t>
        </w:r>
      </w:hyperlink>
      <w:hyperlink r:id="rId30" w:history="1">
        <w:r>
          <w:rPr>
            <w:rFonts w:ascii="Arial Unicode MS" w:eastAsia="Arial Unicode MS" w:hAnsi="Arial Unicode MS" w:cs="Arial Unicode MS"/>
            <w:i/>
            <w:color w:val="0077CC"/>
            <w:u w:val="single"/>
            <w:shd w:val="clear" w:color="auto" w:fill="FFFFFF"/>
          </w:rPr>
          <w:t>, 148 F.2d 416</w:t>
        </w:r>
      </w:hyperlink>
      <w:r>
        <w:rPr>
          <w:rFonts w:ascii="Arial Unicode MS" w:eastAsia="Arial Unicode MS" w:hAnsi="Arial Unicode MS" w:cs="Arial Unicode MS"/>
          <w:color w:val="000000"/>
        </w:rPr>
        <w:t>),</w:t>
      </w:r>
      <w:r>
        <w:rPr>
          <w:rFonts w:ascii="Arial Unicode MS" w:eastAsia="Arial Unicode MS" w:hAnsi="Arial Unicode MS" w:cs="Arial Unicode MS"/>
          <w:b/>
          <w:color w:val="000000"/>
        </w:rPr>
        <w:t> [****77] </w:t>
      </w:r>
      <w:r>
        <w:rPr>
          <w:rFonts w:ascii="Arial Unicode MS" w:eastAsia="Arial Unicode MS" w:hAnsi="Arial Unicode MS" w:cs="Arial Unicode MS"/>
          <w:color w:val="000000"/>
        </w:rPr>
        <w:t xml:space="preserve"> will constitute monopoly which, though unexercised, violates the Sherman Act provided a power to exclude competition is coupled with a purpose or intent to do so.  As we pointed out in </w:t>
      </w:r>
      <w:r>
        <w:rPr>
          <w:rFonts w:ascii="Arial Unicode MS" w:eastAsia="Arial Unicode MS" w:hAnsi="Arial Unicode MS" w:cs="Arial Unicode MS"/>
          <w:i/>
          <w:color w:val="000000"/>
        </w:rPr>
        <w:t>United States</w:t>
      </w:r>
      <w:r>
        <w:rPr>
          <w:rFonts w:ascii="Arial Unicode MS" w:eastAsia="Arial Unicode MS" w:hAnsi="Arial Unicode MS" w:cs="Arial Unicode MS"/>
          <w:color w:val="000000"/>
        </w:rPr>
        <w:t xml:space="preserve"> v. </w:t>
      </w:r>
      <w:r>
        <w:rPr>
          <w:rFonts w:ascii="Arial Unicode MS" w:eastAsia="Arial Unicode MS" w:hAnsi="Arial Unicode MS" w:cs="Arial Unicode MS"/>
          <w:i/>
          <w:color w:val="000000"/>
        </w:rPr>
        <w:t>Griffith, ante</w:t>
      </w:r>
      <w:r>
        <w:rPr>
          <w:rFonts w:ascii="Arial Unicode MS" w:eastAsia="Arial Unicode MS" w:hAnsi="Arial Unicode MS" w:cs="Arial Unicode MS"/>
          <w:color w:val="000000"/>
        </w:rPr>
        <w:t xml:space="preserve">, p. 100, 107, n. 10, size is itself an earmark of monopoly power. </w:t>
      </w:r>
      <w:bookmarkStart w:id="83" w:name="Bookmark_I4GBFMTX0K1MNJ4380000400"/>
      <w:bookmarkEnd w:id="83"/>
      <w:r>
        <w:rPr>
          <w:rFonts w:ascii="Arial Unicode MS" w:eastAsia="Arial Unicode MS" w:hAnsi="Arial Unicode MS" w:cs="Arial Unicode MS"/>
          <w:color w:val="000000"/>
        </w:rPr>
        <w:t xml:space="preserve"> For size carries with it an opportunity for abuse. </w:t>
      </w:r>
      <w:bookmarkStart w:id="84" w:name="Bookmark_I4GBFMTX0K1MNJ44V0000400"/>
      <w:bookmarkEnd w:id="84"/>
      <w:r>
        <w:rPr>
          <w:rFonts w:ascii="Arial Unicode MS" w:eastAsia="Arial Unicode MS" w:hAnsi="Arial Unicode MS" w:cs="Arial Unicode MS"/>
          <w:color w:val="000000"/>
        </w:rPr>
        <w:t xml:space="preserve"> And the fact that the power created by size was utilized in the past to crush or prevent competition is potent evidence that the requisite purpose or intent attends the presence of monopoly power.  See </w:t>
      </w:r>
      <w:bookmarkStart w:id="85" w:name="Bookmark_I4GBFMTX0K1MNJ4370000400"/>
      <w:bookmarkEnd w:id="85"/>
      <w:r>
        <w:fldChar w:fldCharType="begin"/>
      </w:r>
      <w:r>
        <w:instrText xml:space="preserve"> HYPERLINK "https://plus.lexis.com/api/document?collection=cases&amp;id=urn:contentItem:3S4X-CY30-003B-73NH-00000-00&amp;context=1530671" </w:instrText>
      </w:r>
      <w:r>
        <w:fldChar w:fldCharType="separate"/>
      </w:r>
      <w:r>
        <w:rPr>
          <w:rFonts w:ascii="Arial Unicode MS" w:eastAsia="Arial Unicode MS" w:hAnsi="Arial Unicode MS" w:cs="Arial Unicode MS"/>
          <w:i/>
          <w:color w:val="0077CC"/>
          <w:u w:val="single"/>
          <w:shd w:val="clear" w:color="auto" w:fill="FFFFFF"/>
        </w:rPr>
        <w:t>United States</w:t>
      </w:r>
      <w:r>
        <w:rPr>
          <w:rFonts w:ascii="Arial Unicode MS" w:eastAsia="Arial Unicode MS" w:hAnsi="Arial Unicode MS" w:cs="Arial Unicode MS"/>
          <w:i/>
          <w:color w:val="0077CC"/>
          <w:u w:val="single"/>
          <w:shd w:val="clear" w:color="auto" w:fill="FFFFFF"/>
        </w:rPr>
        <w:fldChar w:fldCharType="end"/>
      </w:r>
      <w:hyperlink r:id="rId31" w:history="1">
        <w:r>
          <w:rPr>
            <w:rFonts w:ascii="Arial Unicode MS" w:eastAsia="Arial Unicode MS" w:hAnsi="Arial Unicode MS" w:cs="Arial Unicode MS"/>
            <w:i/>
            <w:color w:val="0077CC"/>
            <w:u w:val="single"/>
            <w:shd w:val="clear" w:color="auto" w:fill="FFFFFF"/>
          </w:rPr>
          <w:t xml:space="preserve"> v. </w:t>
        </w:r>
      </w:hyperlink>
      <w:hyperlink r:id="rId32" w:history="1">
        <w:r>
          <w:rPr>
            <w:rFonts w:ascii="Arial Unicode MS" w:eastAsia="Arial Unicode MS" w:hAnsi="Arial Unicode MS" w:cs="Arial Unicode MS"/>
            <w:i/>
            <w:color w:val="0077CC"/>
            <w:u w:val="single"/>
            <w:shd w:val="clear" w:color="auto" w:fill="FFFFFF"/>
          </w:rPr>
          <w:t>Swift &amp; Co</w:t>
        </w:r>
      </w:hyperlink>
      <w:hyperlink r:id="rId33" w:history="1">
        <w:r>
          <w:rPr>
            <w:rFonts w:ascii="Arial Unicode MS" w:eastAsia="Arial Unicode MS" w:hAnsi="Arial Unicode MS" w:cs="Arial Unicode MS"/>
            <w:i/>
            <w:color w:val="0077CC"/>
            <w:u w:val="single"/>
            <w:shd w:val="clear" w:color="auto" w:fill="FFFFFF"/>
          </w:rPr>
          <w:t>., 286 U.S. 106, 116</w:t>
        </w:r>
      </w:hyperlink>
      <w:r>
        <w:rPr>
          <w:rFonts w:ascii="Arial Unicode MS" w:eastAsia="Arial Unicode MS" w:hAnsi="Arial Unicode MS" w:cs="Arial Unicode MS"/>
          <w:color w:val="000000"/>
        </w:rPr>
        <w:t xml:space="preserve">; </w:t>
      </w:r>
      <w:bookmarkStart w:id="86" w:name="Bookmark_I4GBFMTX0K1MNJ4390000400"/>
      <w:bookmarkEnd w:id="86"/>
      <w:r>
        <w:fldChar w:fldCharType="begin"/>
      </w:r>
      <w:r>
        <w:instrText xml:space="preserve"> HYPERLINK "https://plus.lexis.com/api/document?collection=cases&amp;id=urn:contentItem:3S4X-4XC0-003B-027W-00000-00&amp;context=1530671" </w:instrText>
      </w:r>
      <w:r>
        <w:fldChar w:fldCharType="separate"/>
      </w:r>
      <w:r>
        <w:rPr>
          <w:rFonts w:ascii="Arial Unicode MS" w:eastAsia="Arial Unicode MS" w:hAnsi="Arial Unicode MS" w:cs="Arial Unicode MS"/>
          <w:i/>
          <w:color w:val="0077CC"/>
          <w:u w:val="single"/>
          <w:shd w:val="clear" w:color="auto" w:fill="FFFFFF"/>
        </w:rPr>
        <w:t>United States</w:t>
      </w:r>
      <w:r>
        <w:rPr>
          <w:rFonts w:ascii="Arial Unicode MS" w:eastAsia="Arial Unicode MS" w:hAnsi="Arial Unicode MS" w:cs="Arial Unicode MS"/>
          <w:i/>
          <w:color w:val="0077CC"/>
          <w:u w:val="single"/>
          <w:shd w:val="clear" w:color="auto" w:fill="FFFFFF"/>
        </w:rPr>
        <w:fldChar w:fldCharType="end"/>
      </w:r>
      <w:hyperlink r:id="rId34" w:history="1">
        <w:r>
          <w:rPr>
            <w:rFonts w:ascii="Arial Unicode MS" w:eastAsia="Arial Unicode MS" w:hAnsi="Arial Unicode MS" w:cs="Arial Unicode MS"/>
            <w:i/>
            <w:color w:val="0077CC"/>
            <w:u w:val="single"/>
            <w:shd w:val="clear" w:color="auto" w:fill="FFFFFF"/>
          </w:rPr>
          <w:t xml:space="preserve"> v. </w:t>
        </w:r>
      </w:hyperlink>
      <w:hyperlink r:id="rId35" w:history="1">
        <w:r>
          <w:rPr>
            <w:rFonts w:ascii="Arial Unicode MS" w:eastAsia="Arial Unicode MS" w:hAnsi="Arial Unicode MS" w:cs="Arial Unicode MS"/>
            <w:i/>
            <w:color w:val="0077CC"/>
            <w:u w:val="single"/>
            <w:shd w:val="clear" w:color="auto" w:fill="FFFFFF"/>
          </w:rPr>
          <w:t>Aluminum Co. of America, supra</w:t>
        </w:r>
      </w:hyperlink>
      <w:hyperlink r:id="rId36" w:history="1">
        <w:r>
          <w:rPr>
            <w:rFonts w:ascii="Arial Unicode MS" w:eastAsia="Arial Unicode MS" w:hAnsi="Arial Unicode MS" w:cs="Arial Unicode MS"/>
            <w:i/>
            <w:color w:val="0077CC"/>
            <w:u w:val="single"/>
            <w:shd w:val="clear" w:color="auto" w:fill="FFFFFF"/>
          </w:rPr>
          <w:t>, p. 430</w:t>
        </w:r>
      </w:hyperlink>
      <w:r>
        <w:rPr>
          <w:rFonts w:ascii="Arial Unicode MS" w:eastAsia="Arial Unicode MS" w:hAnsi="Arial Unicode MS" w:cs="Arial Unicode MS"/>
          <w:color w:val="000000"/>
        </w:rPr>
        <w:t xml:space="preserve">. </w:t>
      </w:r>
      <w:bookmarkStart w:id="87" w:name="Bookmark_I4GBFMTX0K1MNJ44V0000400_2"/>
      <w:bookmarkEnd w:id="87"/>
      <w:r>
        <w:rPr>
          <w:rFonts w:ascii="Arial Unicode MS" w:eastAsia="Arial Unicode MS" w:hAnsi="Arial Unicode MS" w:cs="Arial Unicode MS"/>
          <w:color w:val="000000"/>
        </w:rPr>
        <w:t xml:space="preserve">Likewise </w:t>
      </w:r>
      <w:bookmarkStart w:id="88" w:name="Bookmark_LNHNREFclscc16"/>
      <w:bookmarkEnd w:id="88"/>
      <w:r>
        <w:rPr>
          <w:rFonts w:ascii="Arial Unicode MS" w:eastAsia="Arial Unicode MS" w:hAnsi="Arial Unicode MS" w:cs="Arial Unicode MS"/>
          <w:color w:val="000000"/>
        </w:rPr>
        <w:t xml:space="preserve">bearing on the question whether monopoly power is created by the vertical integration, is the nature of the market to be served ( </w:t>
      </w:r>
      <w:bookmarkStart w:id="89" w:name="Bookmark_I4GBFMTX0K1MNJ43C0000400"/>
      <w:bookmarkEnd w:id="89"/>
      <w:r>
        <w:fldChar w:fldCharType="begin"/>
      </w:r>
      <w:r>
        <w:instrText xml:space="preserve"> HYPERLINK "https://plus.lexis.com/api/document?collection=cases&amp;id=urn:contentItem:3S4X-4XC0-003B-027W-00000-00&amp;context=1530671" </w:instrText>
      </w:r>
      <w:r>
        <w:fldChar w:fldCharType="separate"/>
      </w:r>
      <w:r>
        <w:rPr>
          <w:rFonts w:ascii="Arial Unicode MS" w:eastAsia="Arial Unicode MS" w:hAnsi="Arial Unicode MS" w:cs="Arial Unicode MS"/>
          <w:i/>
          <w:color w:val="0077CC"/>
          <w:u w:val="single"/>
          <w:shd w:val="clear" w:color="auto" w:fill="FFFFFF"/>
        </w:rPr>
        <w:t>United States</w:t>
      </w:r>
      <w:r>
        <w:rPr>
          <w:rFonts w:ascii="Arial Unicode MS" w:eastAsia="Arial Unicode MS" w:hAnsi="Arial Unicode MS" w:cs="Arial Unicode MS"/>
          <w:i/>
          <w:color w:val="0077CC"/>
          <w:u w:val="single"/>
          <w:shd w:val="clear" w:color="auto" w:fill="FFFFFF"/>
        </w:rPr>
        <w:fldChar w:fldCharType="end"/>
      </w:r>
      <w:hyperlink r:id="rId37" w:history="1">
        <w:r>
          <w:rPr>
            <w:rFonts w:ascii="Arial Unicode MS" w:eastAsia="Arial Unicode MS" w:hAnsi="Arial Unicode MS" w:cs="Arial Unicode MS"/>
            <w:i/>
            <w:color w:val="0077CC"/>
            <w:u w:val="single"/>
            <w:shd w:val="clear" w:color="auto" w:fill="FFFFFF"/>
          </w:rPr>
          <w:t xml:space="preserve"> v. </w:t>
        </w:r>
      </w:hyperlink>
      <w:hyperlink r:id="rId38" w:history="1">
        <w:r>
          <w:rPr>
            <w:rFonts w:ascii="Arial Unicode MS" w:eastAsia="Arial Unicode MS" w:hAnsi="Arial Unicode MS" w:cs="Arial Unicode MS"/>
            <w:i/>
            <w:color w:val="0077CC"/>
            <w:u w:val="single"/>
            <w:shd w:val="clear" w:color="auto" w:fill="FFFFFF"/>
          </w:rPr>
          <w:t>Aluminum Co. of America, supra</w:t>
        </w:r>
      </w:hyperlink>
      <w:hyperlink r:id="rId39" w:history="1">
        <w:r>
          <w:rPr>
            <w:rFonts w:ascii="Arial Unicode MS" w:eastAsia="Arial Unicode MS" w:hAnsi="Arial Unicode MS" w:cs="Arial Unicode MS"/>
            <w:i/>
            <w:color w:val="0077CC"/>
            <w:u w:val="single"/>
            <w:shd w:val="clear" w:color="auto" w:fill="FFFFFF"/>
          </w:rPr>
          <w:t>, p. 430</w:t>
        </w:r>
      </w:hyperlink>
      <w:r>
        <w:rPr>
          <w:rFonts w:ascii="Arial Unicode MS" w:eastAsia="Arial Unicode MS" w:hAnsi="Arial Unicode MS" w:cs="Arial Unicode MS"/>
          <w:color w:val="000000"/>
        </w:rPr>
        <w:t xml:space="preserve">), and the leverage on the market which the particular vertical integration creates or makes possible. </w:t>
      </w:r>
    </w:p>
    <w:p w14:paraId="07A4184C" w14:textId="77777777" w:rsidR="002F1BBD" w:rsidRDefault="002F1BBD"/>
    <w:p w14:paraId="3D44E14B" w14:textId="6670DC01" w:rsidR="002F1BBD" w:rsidRDefault="00116564">
      <w:pPr>
        <w:spacing w:before="200" w:line="300" w:lineRule="atLeast"/>
        <w:jc w:val="both"/>
      </w:pPr>
      <w:bookmarkStart w:id="90" w:name="Bookmark_LEDHN37_1"/>
      <w:bookmarkEnd w:id="90"/>
      <w:r>
        <w:rPr>
          <w:rFonts w:ascii="Arial Unicode MS" w:eastAsia="Arial Unicode MS" w:hAnsi="Arial Unicode MS" w:cs="Arial Unicode MS"/>
          <w:color w:val="000000"/>
        </w:rPr>
        <w:t>[37]These</w:t>
      </w:r>
      <w:r>
        <w:rPr>
          <w:rFonts w:ascii="Arial Unicode MS" w:eastAsia="Arial Unicode MS" w:hAnsi="Arial Unicode MS" w:cs="Arial Unicode MS"/>
          <w:b/>
          <w:color w:val="000000"/>
        </w:rPr>
        <w:t> [****78] </w:t>
      </w:r>
      <w:r>
        <w:rPr>
          <w:rFonts w:ascii="Arial Unicode MS" w:eastAsia="Arial Unicode MS" w:hAnsi="Arial Unicode MS" w:cs="Arial Unicode MS"/>
          <w:color w:val="000000"/>
        </w:rPr>
        <w:t xml:space="preserve"> matters were not considered by the District Court.  For that reason, as well as the others we have mentioned, the findings on monopoly and divestiture which we have discussed in this part of the opinion will be set aside</w:t>
      </w:r>
      <w:proofErr w:type="gramStart"/>
      <w:r>
        <w:rPr>
          <w:rFonts w:ascii="Arial Unicode MS" w:eastAsia="Arial Unicode MS" w:hAnsi="Arial Unicode MS" w:cs="Arial Unicode MS"/>
          <w:color w:val="000000"/>
        </w:rPr>
        <w:t xml:space="preserve">. </w:t>
      </w:r>
      <w:r w:rsidR="00B36A3D">
        <w:rPr>
          <w:rFonts w:ascii="Arial Unicode MS" w:eastAsia="Arial Unicode MS" w:hAnsi="Arial Unicode MS" w:cs="Arial Unicode MS"/>
          <w:color w:val="000000"/>
        </w:rPr>
        <w:t>. . .</w:t>
      </w:r>
      <w:proofErr w:type="gramEnd"/>
    </w:p>
    <w:p w14:paraId="1683D13E" w14:textId="77777777" w:rsidR="002F1BBD" w:rsidRDefault="00116564">
      <w:pPr>
        <w:spacing w:before="200" w:line="300" w:lineRule="atLeast"/>
        <w:jc w:val="both"/>
      </w:pPr>
      <w:bookmarkStart w:id="91" w:name="Bookmark_para_81"/>
      <w:bookmarkEnd w:id="91"/>
      <w:r>
        <w:rPr>
          <w:rFonts w:ascii="Arial Unicode MS" w:eastAsia="Arial Unicode MS" w:hAnsi="Arial Unicode MS" w:cs="Arial Unicode MS"/>
          <w:color w:val="000000"/>
        </w:rPr>
        <w:t>It follows that the provision of the decree barring the five majors from further theatre expansion should likewise be eliminated.  For it too is related to the monopoly question; and the District Court should be allowed to make an entirely fresh start on the whole of the problem.  We in no way intimate, however, that the District Court erred in prohibiting further theatre expansion by the five majors.</w:t>
      </w:r>
    </w:p>
    <w:p w14:paraId="6AFF80DA" w14:textId="520EB97F" w:rsidR="004A6569" w:rsidRDefault="004A6569" w:rsidP="004A6569">
      <w:pPr>
        <w:spacing w:before="200" w:line="300" w:lineRule="atLeast"/>
        <w:jc w:val="both"/>
        <w:rPr>
          <w:rFonts w:ascii="Arial Unicode MS" w:eastAsia="Arial Unicode MS" w:hAnsi="Arial Unicode MS" w:cs="Arial Unicode MS"/>
          <w:b/>
          <w:color w:val="000000"/>
        </w:rPr>
      </w:pPr>
      <w:bookmarkStart w:id="92" w:name="Bookmark_para_82"/>
      <w:bookmarkStart w:id="93" w:name="Bookmark_I4GBFMTX0K1MNJ44X0000400"/>
      <w:bookmarkStart w:id="94" w:name="Bookmark_para_83"/>
      <w:bookmarkEnd w:id="92"/>
      <w:bookmarkEnd w:id="93"/>
      <w:bookmarkEnd w:id="94"/>
      <w:r>
        <w:rPr>
          <w:rFonts w:ascii="Arial Unicode MS" w:eastAsia="Arial Unicode MS" w:hAnsi="Arial Unicode MS" w:cs="Arial Unicode MS"/>
          <w:b/>
          <w:color w:val="000000"/>
        </w:rPr>
        <w:t>. . . .</w:t>
      </w:r>
      <w:r w:rsidR="00116564">
        <w:rPr>
          <w:rFonts w:ascii="Arial Unicode MS" w:eastAsia="Arial Unicode MS" w:hAnsi="Arial Unicode MS" w:cs="Arial Unicode MS"/>
          <w:b/>
          <w:color w:val="000000"/>
        </w:rPr>
        <w:t> </w:t>
      </w:r>
      <w:bookmarkStart w:id="95" w:name="Bookmark_para_91"/>
      <w:bookmarkEnd w:id="95"/>
    </w:p>
    <w:p w14:paraId="3D2E59F4" w14:textId="2D6A8866" w:rsidR="002F1BBD" w:rsidRDefault="00116564" w:rsidP="004A6569">
      <w:pPr>
        <w:spacing w:before="200" w:line="300" w:lineRule="atLeast"/>
        <w:jc w:val="both"/>
      </w:pPr>
      <w:r>
        <w:rPr>
          <w:rFonts w:ascii="Arial Unicode MS" w:eastAsia="Arial Unicode MS" w:hAnsi="Arial Unicode MS" w:cs="Arial Unicode MS"/>
          <w:color w:val="000000"/>
        </w:rPr>
        <w:t>The judgment in these cases is affirmed in part and reversed in part, and the cases are remanded to the District Court for proceedings in conformity with this opinion.</w:t>
      </w:r>
    </w:p>
    <w:p w14:paraId="363DA8ED" w14:textId="77777777" w:rsidR="002F1BBD" w:rsidRDefault="00116564">
      <w:pPr>
        <w:spacing w:before="200" w:line="300" w:lineRule="atLeast"/>
        <w:jc w:val="both"/>
      </w:pPr>
      <w:bookmarkStart w:id="96" w:name="Bookmark_para_92"/>
      <w:bookmarkEnd w:id="96"/>
      <w:r>
        <w:rPr>
          <w:rFonts w:ascii="Arial Unicode MS" w:eastAsia="Arial Unicode MS" w:hAnsi="Arial Unicode MS" w:cs="Arial Unicode MS"/>
          <w:i/>
          <w:color w:val="000000"/>
        </w:rPr>
        <w:t>So ordered</w:t>
      </w:r>
      <w:r>
        <w:rPr>
          <w:rFonts w:ascii="Arial Unicode MS" w:eastAsia="Arial Unicode MS" w:hAnsi="Arial Unicode MS" w:cs="Arial Unicode MS"/>
          <w:color w:val="000000"/>
        </w:rPr>
        <w:t>.</w:t>
      </w:r>
    </w:p>
    <w:p w14:paraId="28BA5296" w14:textId="77777777" w:rsidR="002F1BBD" w:rsidRDefault="002F1BBD">
      <w:bookmarkStart w:id="97" w:name="Bookmark_para_93"/>
      <w:bookmarkStart w:id="98" w:name="Dissent_by"/>
      <w:bookmarkEnd w:id="97"/>
      <w:bookmarkEnd w:id="98"/>
    </w:p>
    <w:p w14:paraId="0EFF198A" w14:textId="77777777" w:rsidR="002F1BBD" w:rsidRDefault="00116564">
      <w:pPr>
        <w:ind w:left="200"/>
      </w:pPr>
      <w:r>
        <w:br/>
      </w:r>
      <w:r w:rsidR="00E82A57">
        <w:pict w14:anchorId="033B902F">
          <v:line id="_x0000_s2050" alt="" style="position:absolute;left:0;text-align:left;z-index:251662336;mso-wrap-edited:f;mso-width-percent:0;mso-height-percent:0;mso-position-horizontal-relative:text;mso-position-vertical-relative:text;mso-width-percent:0;mso-height-percent:0" from="0,10pt" to="512pt,10pt" strokeweight="1pt"/>
        </w:pict>
      </w:r>
      <w:r>
        <w:rPr>
          <w:rFonts w:ascii="Arial Unicode MS" w:eastAsia="Arial Unicode MS" w:hAnsi="Arial Unicode MS" w:cs="Arial Unicode MS"/>
          <w:b/>
          <w:color w:val="767676"/>
          <w:sz w:val="16"/>
        </w:rPr>
        <w:t>End of Document</w:t>
      </w:r>
    </w:p>
    <w:sectPr w:rsidR="002F1BBD">
      <w:headerReference w:type="even" r:id="rId40"/>
      <w:headerReference w:type="default" r:id="rId41"/>
      <w:footerReference w:type="even" r:id="rId42"/>
      <w:footerReference w:type="default" r:id="rId43"/>
      <w:headerReference w:type="first" r:id="rId44"/>
      <w:footerReference w:type="first" r:id="rId45"/>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A6463" w14:textId="77777777" w:rsidR="00E82A57" w:rsidRDefault="00E82A57">
      <w:r>
        <w:separator/>
      </w:r>
    </w:p>
  </w:endnote>
  <w:endnote w:type="continuationSeparator" w:id="0">
    <w:p w14:paraId="7457E7E0" w14:textId="77777777" w:rsidR="00E82A57" w:rsidRDefault="00E82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7EFF" w:usb1="C000785B" w:usb2="00000009" w:usb3="00000000" w:csb0="000001FF" w:csb1="00000000"/>
  </w:font>
  <w:font w:name="Arial">
    <w:panose1 w:val="020B0604020202020204"/>
    <w:charset w:val="CC"/>
    <w:family w:val="swiss"/>
    <w:pitch w:val="variable"/>
    <w:sig w:usb0="E0007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B825E" w14:textId="77777777" w:rsidR="002F1BBD" w:rsidRDefault="002F1BB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F1BBD" w14:paraId="369E0318" w14:textId="77777777">
      <w:trPr>
        <w:jc w:val="center"/>
      </w:trPr>
      <w:tc>
        <w:tcPr>
          <w:tcW w:w="2600" w:type="dxa"/>
          <w:tcMar>
            <w:top w:w="200" w:type="dxa"/>
          </w:tcMar>
          <w:vAlign w:val="center"/>
        </w:tcPr>
        <w:p w14:paraId="7D9E308F" w14:textId="77777777" w:rsidR="002F1BBD" w:rsidRDefault="002F1BBD"/>
      </w:tc>
      <w:tc>
        <w:tcPr>
          <w:tcW w:w="4880" w:type="dxa"/>
          <w:tcMar>
            <w:top w:w="200" w:type="dxa"/>
          </w:tcMar>
          <w:vAlign w:val="center"/>
        </w:tcPr>
        <w:p w14:paraId="38B9D815" w14:textId="77777777" w:rsidR="002F1BBD" w:rsidRDefault="00116564">
          <w:pPr>
            <w:jc w:val="center"/>
          </w:pPr>
          <w:r>
            <w:rPr>
              <w:rFonts w:ascii="Arial" w:eastAsia="Arial" w:hAnsi="Arial" w:cs="Arial"/>
              <w:sz w:val="20"/>
            </w:rPr>
            <w:t xml:space="preserve">David </w:t>
          </w:r>
          <w:proofErr w:type="spellStart"/>
          <w:r>
            <w:rPr>
              <w:rFonts w:ascii="Arial" w:eastAsia="Arial" w:hAnsi="Arial" w:cs="Arial"/>
              <w:sz w:val="20"/>
            </w:rPr>
            <w:t>Schizer</w:t>
          </w:r>
          <w:proofErr w:type="spellEnd"/>
        </w:p>
      </w:tc>
      <w:tc>
        <w:tcPr>
          <w:tcW w:w="2600" w:type="dxa"/>
          <w:tcMar>
            <w:top w:w="200" w:type="dxa"/>
          </w:tcMar>
          <w:vAlign w:val="center"/>
        </w:tcPr>
        <w:p w14:paraId="4CA37A77" w14:textId="77777777" w:rsidR="002F1BBD" w:rsidRDefault="002F1BBD"/>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235B" w14:textId="77777777" w:rsidR="002F1BBD" w:rsidRDefault="00116564">
    <w:pPr>
      <w:spacing w:before="200"/>
      <w:jc w:val="center"/>
    </w:pPr>
    <w:r>
      <w:rPr>
        <w:rFonts w:ascii="Arial" w:eastAsia="Arial" w:hAnsi="Arial" w:cs="Arial"/>
        <w:sz w:val="20"/>
      </w:rPr>
      <w:t xml:space="preserve">David </w:t>
    </w:r>
    <w:proofErr w:type="spellStart"/>
    <w:r>
      <w:rPr>
        <w:rFonts w:ascii="Arial" w:eastAsia="Arial" w:hAnsi="Arial" w:cs="Arial"/>
        <w:sz w:val="20"/>
      </w:rPr>
      <w:t>Schizer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33AD6" w14:textId="77777777" w:rsidR="00E82A57" w:rsidRDefault="00E82A57">
      <w:r>
        <w:separator/>
      </w:r>
    </w:p>
  </w:footnote>
  <w:footnote w:type="continuationSeparator" w:id="0">
    <w:p w14:paraId="69F1FB54" w14:textId="77777777" w:rsidR="00E82A57" w:rsidRDefault="00E82A57">
      <w:r>
        <w:continuationSeparator/>
      </w:r>
    </w:p>
  </w:footnote>
  <w:footnote w:id="1">
    <w:p w14:paraId="725CBA32" w14:textId="77777777" w:rsidR="002F1BBD" w:rsidRDefault="00116564">
      <w:pPr>
        <w:spacing w:before="240" w:line="240" w:lineRule="atLeast"/>
        <w:jc w:val="both"/>
      </w:pPr>
      <w:r>
        <w:rPr>
          <w:rFonts w:ascii="Arial Unicode MS" w:eastAsia="Arial Unicode MS" w:hAnsi="Arial Unicode MS" w:cs="Arial Unicode MS"/>
          <w:color w:val="000000"/>
          <w:sz w:val="18"/>
          <w:vertAlign w:val="superscript"/>
        </w:rPr>
        <w:t>1 </w:t>
      </w:r>
      <w:bookmarkStart w:id="33" w:name="Bookmark_fnpara_2"/>
      <w:bookmarkEnd w:id="33"/>
      <w:r>
        <w:fldChar w:fldCharType="begin"/>
      </w:r>
      <w:r>
        <w:instrText xml:space="preserve"> HYPERLINK "https://plus.lexis.com/api/document?collection=statutes-legislation&amp;id=urn:contentItem:8S9D-W4V2-8T6X-74X4-00000-00&amp;context=1530671" </w:instrText>
      </w:r>
      <w:r>
        <w:fldChar w:fldCharType="separate"/>
      </w:r>
      <w:r>
        <w:rPr>
          <w:rFonts w:ascii="Arial Unicode MS" w:eastAsia="Arial Unicode MS" w:hAnsi="Arial Unicode MS" w:cs="Arial Unicode MS"/>
          <w:i/>
          <w:color w:val="0077CC"/>
          <w:sz w:val="18"/>
          <w:u w:val="single"/>
          <w:shd w:val="clear" w:color="auto" w:fill="FFFFFF"/>
        </w:rPr>
        <w:t>Sec. 2</w:t>
      </w:r>
      <w:r>
        <w:rPr>
          <w:rFonts w:ascii="Arial Unicode MS" w:eastAsia="Arial Unicode MS" w:hAnsi="Arial Unicode MS" w:cs="Arial Unicode MS"/>
          <w:i/>
          <w:color w:val="0077CC"/>
          <w:sz w:val="18"/>
          <w:u w:val="single"/>
          <w:shd w:val="clear" w:color="auto" w:fill="FFFFFF"/>
        </w:rPr>
        <w:fldChar w:fldCharType="end"/>
      </w:r>
      <w:r>
        <w:rPr>
          <w:rFonts w:ascii="Arial Unicode MS" w:eastAsia="Arial Unicode MS" w:hAnsi="Arial Unicode MS" w:cs="Arial Unicode MS"/>
          <w:color w:val="000000"/>
          <w:sz w:val="18"/>
        </w:rPr>
        <w:t xml:space="preserve"> of the Expediting Act of February 11, 1903, 32 Stat. 823, as amended, </w:t>
      </w:r>
      <w:hyperlink r:id="rId1" w:history="1">
        <w:r>
          <w:rPr>
            <w:rFonts w:ascii="Arial Unicode MS" w:eastAsia="Arial Unicode MS" w:hAnsi="Arial Unicode MS" w:cs="Arial Unicode MS"/>
            <w:i/>
            <w:color w:val="0077CC"/>
            <w:sz w:val="18"/>
            <w:u w:val="single"/>
            <w:shd w:val="clear" w:color="auto" w:fill="FFFFFF"/>
          </w:rPr>
          <w:t>15 U. S. C. § 29</w:t>
        </w:r>
      </w:hyperlink>
      <w:r>
        <w:rPr>
          <w:rFonts w:ascii="Arial Unicode MS" w:eastAsia="Arial Unicode MS" w:hAnsi="Arial Unicode MS" w:cs="Arial Unicode MS"/>
          <w:color w:val="000000"/>
          <w:sz w:val="18"/>
        </w:rPr>
        <w:t xml:space="preserve">, and </w:t>
      </w:r>
      <w:hyperlink r:id="rId2" w:history="1">
        <w:r>
          <w:rPr>
            <w:rFonts w:ascii="Arial Unicode MS" w:eastAsia="Arial Unicode MS" w:hAnsi="Arial Unicode MS" w:cs="Arial Unicode MS"/>
            <w:i/>
            <w:color w:val="0077CC"/>
            <w:sz w:val="18"/>
            <w:u w:val="single"/>
            <w:shd w:val="clear" w:color="auto" w:fill="FFFFFF"/>
          </w:rPr>
          <w:t>§ 238</w:t>
        </w:r>
      </w:hyperlink>
      <w:r>
        <w:rPr>
          <w:rFonts w:ascii="Arial Unicode MS" w:eastAsia="Arial Unicode MS" w:hAnsi="Arial Unicode MS" w:cs="Arial Unicode MS"/>
          <w:color w:val="000000"/>
          <w:sz w:val="18"/>
        </w:rPr>
        <w:t xml:space="preserve"> of the Judicial Code, as amended by the Act of February 13, 1925, 43 Stat. 936, 938, 28 U. S. C. § 345.</w:t>
      </w:r>
    </w:p>
  </w:footnote>
  <w:footnote w:id="2">
    <w:p w14:paraId="6A6004D3" w14:textId="77777777" w:rsidR="002F1BBD" w:rsidRDefault="00116564">
      <w:pPr>
        <w:spacing w:before="240" w:line="240" w:lineRule="atLeast"/>
        <w:jc w:val="both"/>
      </w:pPr>
      <w:r>
        <w:rPr>
          <w:rFonts w:ascii="Arial Unicode MS" w:eastAsia="Arial Unicode MS" w:hAnsi="Arial Unicode MS" w:cs="Arial Unicode MS"/>
          <w:color w:val="000000"/>
          <w:sz w:val="18"/>
          <w:vertAlign w:val="superscript"/>
        </w:rPr>
        <w:t>2 </w:t>
      </w:r>
      <w:bookmarkStart w:id="34" w:name="Bookmark_fnpara_3"/>
      <w:bookmarkEnd w:id="34"/>
      <w:r>
        <w:rPr>
          <w:rFonts w:ascii="Arial Unicode MS" w:eastAsia="Arial Unicode MS" w:hAnsi="Arial Unicode MS" w:cs="Arial Unicode MS"/>
          <w:color w:val="000000"/>
          <w:sz w:val="18"/>
        </w:rPr>
        <w:t xml:space="preserve">The court was convened pursuant to the provisions of the Act of April 6, 1942, 56 Stat. 198, 199, </w:t>
      </w:r>
      <w:hyperlink r:id="rId3" w:history="1">
        <w:r>
          <w:rPr>
            <w:rFonts w:ascii="Arial Unicode MS" w:eastAsia="Arial Unicode MS" w:hAnsi="Arial Unicode MS" w:cs="Arial Unicode MS"/>
            <w:i/>
            <w:color w:val="0077CC"/>
            <w:sz w:val="18"/>
            <w:u w:val="single"/>
            <w:shd w:val="clear" w:color="auto" w:fill="FFFFFF"/>
          </w:rPr>
          <w:t>15 U. S. C. § 28</w:t>
        </w:r>
      </w:hyperlink>
      <w:r>
        <w:rPr>
          <w:rFonts w:ascii="Arial Unicode MS" w:eastAsia="Arial Unicode MS" w:hAnsi="Arial Unicode MS" w:cs="Arial Unicode MS"/>
          <w:color w:val="000000"/>
          <w:sz w:val="18"/>
        </w:rPr>
        <w:t>.</w:t>
      </w:r>
    </w:p>
  </w:footnote>
  <w:footnote w:id="3">
    <w:p w14:paraId="63BB15B8" w14:textId="77777777" w:rsidR="002F1BBD" w:rsidRDefault="00116564">
      <w:pPr>
        <w:spacing w:before="120" w:line="240" w:lineRule="atLeast"/>
        <w:jc w:val="both"/>
      </w:pPr>
      <w:r>
        <w:rPr>
          <w:rFonts w:ascii="Arial Unicode MS" w:eastAsia="Arial Unicode MS" w:hAnsi="Arial Unicode MS" w:cs="Arial Unicode MS"/>
          <w:color w:val="000000"/>
          <w:sz w:val="18"/>
          <w:vertAlign w:val="superscript"/>
        </w:rPr>
        <w:t>18 </w:t>
      </w:r>
      <w:bookmarkStart w:id="42" w:name="Bookmark_fnpara_32"/>
      <w:bookmarkEnd w:id="42"/>
      <w:r>
        <w:rPr>
          <w:rFonts w:ascii="Arial Unicode MS" w:eastAsia="Arial Unicode MS" w:hAnsi="Arial Unicode MS" w:cs="Arial Unicode MS"/>
          <w:color w:val="000000"/>
          <w:sz w:val="18"/>
        </w:rPr>
        <w:t>The theatres which each of the five majors owned independently of the others were: Paramount 1,395 or 7.72 per cent; Warner 501 or 2.77 per cent; Loew's 135 or .74 per cent; Fox 636 or 3.52 per cent; RKO 109 or .60 per cent.  There were in addition 361 theatres or about 2 per cent in which two or more of the five majors had joint interests.  These figures exclude connections through film-buying or management contracts or through corporations in which a defendant owns an indirect minority stock interest.</w:t>
      </w:r>
    </w:p>
    <w:p w14:paraId="1B3D2EBB" w14:textId="77777777" w:rsidR="002F1BBD" w:rsidRDefault="00116564">
      <w:pPr>
        <w:spacing w:before="120" w:line="240" w:lineRule="atLeast"/>
        <w:jc w:val="both"/>
      </w:pPr>
      <w:bookmarkStart w:id="43" w:name="Bookmark_fnpara_33"/>
      <w:bookmarkEnd w:id="43"/>
      <w:r>
        <w:rPr>
          <w:rFonts w:ascii="Arial Unicode MS" w:eastAsia="Arial Unicode MS" w:hAnsi="Arial Unicode MS" w:cs="Arial Unicode MS"/>
          <w:color w:val="000000"/>
          <w:sz w:val="18"/>
        </w:rPr>
        <w:t>These theatres are located in 922 towns in 48 States and the District of Columbia.  For further description of the distribution of theatres see Bertrand, Evans, and Blanchard, The Motion Picture Industry -- A Pattern of Control 15-16 (TNEC Monograph 43, 1941).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87FCD" w14:textId="77777777" w:rsidR="002F1BBD" w:rsidRDefault="002F1B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F1BBD" w14:paraId="4EDCCA3C" w14:textId="77777777">
      <w:trPr>
        <w:jc w:val="center"/>
      </w:trPr>
      <w:tc>
        <w:tcPr>
          <w:tcW w:w="10080" w:type="dxa"/>
          <w:vAlign w:val="center"/>
        </w:tcPr>
        <w:p w14:paraId="230340E1" w14:textId="77777777" w:rsidR="002F1BBD" w:rsidRDefault="00116564">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sidR="00ED17A2">
            <w:rPr>
              <w:rFonts w:ascii="Arial Unicode MS" w:eastAsia="Arial Unicode MS" w:hAnsi="Arial Unicode MS" w:cs="Arial Unicode MS"/>
              <w:noProof/>
              <w:sz w:val="20"/>
            </w:rPr>
            <w:t>3</w:t>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sidR="00ED17A2">
            <w:rPr>
              <w:rFonts w:ascii="Arial Unicode MS" w:eastAsia="Arial Unicode MS" w:hAnsi="Arial Unicode MS" w:cs="Arial Unicode MS"/>
              <w:noProof/>
              <w:sz w:val="20"/>
            </w:rPr>
            <w:t>4</w:t>
          </w:r>
          <w:r>
            <w:rPr>
              <w:rFonts w:ascii="Arial Unicode MS" w:eastAsia="Arial Unicode MS" w:hAnsi="Arial Unicode MS" w:cs="Arial Unicode MS"/>
              <w:sz w:val="20"/>
            </w:rPr>
            <w:fldChar w:fldCharType="end"/>
          </w:r>
        </w:p>
      </w:tc>
    </w:tr>
    <w:tr w:rsidR="002F1BBD" w14:paraId="5266D4CB" w14:textId="77777777">
      <w:trPr>
        <w:jc w:val="center"/>
      </w:trPr>
      <w:tc>
        <w:tcPr>
          <w:tcW w:w="10080" w:type="dxa"/>
        </w:tcPr>
        <w:p w14:paraId="0747391D" w14:textId="77777777" w:rsidR="002F1BBD" w:rsidRDefault="00116564">
          <w:pPr>
            <w:spacing w:before="60" w:after="200"/>
            <w:jc w:val="center"/>
          </w:pPr>
          <w:r>
            <w:rPr>
              <w:rFonts w:ascii="Arial Unicode MS" w:eastAsia="Arial Unicode MS" w:hAnsi="Arial Unicode MS" w:cs="Arial Unicode MS"/>
              <w:sz w:val="20"/>
            </w:rPr>
            <w:t>United States v. Paramount Pictures, Inc.</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8D90E" w14:textId="77777777" w:rsidR="002F1BBD" w:rsidRDefault="002F1BB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3"/>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435E5"/>
    <w:rsid w:val="00116564"/>
    <w:rsid w:val="002F1BBD"/>
    <w:rsid w:val="004A6569"/>
    <w:rsid w:val="00A77B3E"/>
    <w:rsid w:val="00B36A3D"/>
    <w:rsid w:val="00B61091"/>
    <w:rsid w:val="00BB5B97"/>
    <w:rsid w:val="00CA2A55"/>
    <w:rsid w:val="00CE0A98"/>
    <w:rsid w:val="00D54BE3"/>
    <w:rsid w:val="00E82A57"/>
    <w:rsid w:val="00ED17A2"/>
    <w:rsid w:val="00FD7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0A7C7952"/>
  <w15:docId w15:val="{34DDEEA5-7CDD-A042-B19B-0C81E0952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plus.lexis.com/api/document?collection=cases&amp;id=urn:contentItem:3S4X-7110-003B-72F4-00000-00&amp;context=1530671" TargetMode="External"/><Relationship Id="rId18" Type="http://schemas.openxmlformats.org/officeDocument/2006/relationships/hyperlink" Target="https://plus.lexis.com/api/document?collection=cases&amp;id=urn:contentItem:3S4X-JTV0-003B-S04W-00000-00&amp;context=1530671" TargetMode="External"/><Relationship Id="rId26" Type="http://schemas.openxmlformats.org/officeDocument/2006/relationships/hyperlink" Target="https://plus.lexis.com/api/document?collection=cases&amp;id=urn:contentItem:3S4X-5020-003B-H3RV-00000-00&amp;context=1530671" TargetMode="External"/><Relationship Id="rId39" Type="http://schemas.openxmlformats.org/officeDocument/2006/relationships/hyperlink" Target="https://plus.lexis.com/api/document?collection=cases&amp;id=urn:contentItem:3S4X-4XC0-003B-027W-00000-00&amp;context=1530671" TargetMode="External"/><Relationship Id="rId21" Type="http://schemas.openxmlformats.org/officeDocument/2006/relationships/hyperlink" Target="https://plus.lexis.com/api/document?collection=statutes-legislation&amp;id=urn:contentItem:8S9D-W4V2-8T6X-74X4-00000-00&amp;context=1530671" TargetMode="External"/><Relationship Id="rId34" Type="http://schemas.openxmlformats.org/officeDocument/2006/relationships/hyperlink" Target="https://plus.lexis.com/api/document?collection=cases&amp;id=urn:contentItem:3S4X-4XC0-003B-027W-00000-00&amp;context=1530671"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hyperlink" Target="https://plus.lexis.com/api/document?collection=statutes-legislation&amp;id=urn:contentItem:8S9D-W4V2-8T6X-74X4-00000-00&amp;context=1530671" TargetMode="External"/><Relationship Id="rId2" Type="http://schemas.openxmlformats.org/officeDocument/2006/relationships/settings" Target="settings.xml"/><Relationship Id="rId16" Type="http://schemas.openxmlformats.org/officeDocument/2006/relationships/hyperlink" Target="https://plus.lexis.com/api/document?collection=cases&amp;id=urn:contentItem:3S4X-JTV0-003B-S04W-00000-00&amp;context=1530671" TargetMode="External"/><Relationship Id="rId29" Type="http://schemas.openxmlformats.org/officeDocument/2006/relationships/hyperlink" Target="https://plus.lexis.com/api/document?collection=cases&amp;id=urn:contentItem:3S4X-4XC0-003B-027W-00000-00&amp;context=1530671" TargetMode="External"/><Relationship Id="rId1" Type="http://schemas.openxmlformats.org/officeDocument/2006/relationships/styles" Target="styles.xml"/><Relationship Id="rId6" Type="http://schemas.openxmlformats.org/officeDocument/2006/relationships/hyperlink" Target="https://plus.lexis.com/api/document?collection=statutes-legislation&amp;id=urn:contentItem:8S9D-W4V2-8T6X-74X3-00000-00&amp;context=1530671" TargetMode="External"/><Relationship Id="rId11" Type="http://schemas.openxmlformats.org/officeDocument/2006/relationships/hyperlink" Target="https://plus.lexis.com/api/document?collection=statutes-legislation&amp;id=urn:contentItem:8S9D-W4V2-8T6X-74X4-00000-00&amp;context=1530671" TargetMode="External"/><Relationship Id="rId24" Type="http://schemas.openxmlformats.org/officeDocument/2006/relationships/hyperlink" Target="https://plus.lexis.com/api/document?collection=cases&amp;id=urn:contentItem:3S4X-55K0-003B-H45F-00000-00&amp;context=1530671" TargetMode="External"/><Relationship Id="rId32" Type="http://schemas.openxmlformats.org/officeDocument/2006/relationships/hyperlink" Target="https://plus.lexis.com/api/document?collection=cases&amp;id=urn:contentItem:3S4X-CY30-003B-73NH-00000-00&amp;context=1530671" TargetMode="External"/><Relationship Id="rId37" Type="http://schemas.openxmlformats.org/officeDocument/2006/relationships/hyperlink" Target="https://plus.lexis.com/api/document?collection=cases&amp;id=urn:contentItem:3S4X-4XC0-003B-027W-00000-00&amp;context=1530671"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hyperlink" Target="https://plus.lexis.com/api/document?collection=statutes-legislation&amp;id=urn:contentItem:8S9D-W4V2-8T6X-74X4-00000-00&amp;context=1530671" TargetMode="External"/><Relationship Id="rId23" Type="http://schemas.openxmlformats.org/officeDocument/2006/relationships/hyperlink" Target="https://plus.lexis.com/api/document?collection=cases&amp;id=urn:contentItem:3S4X-55K0-003B-H45F-00000-00&amp;context=1530671" TargetMode="External"/><Relationship Id="rId28" Type="http://schemas.openxmlformats.org/officeDocument/2006/relationships/hyperlink" Target="https://plus.lexis.com/api/document?collection=cases&amp;id=urn:contentItem:3S4X-4XC0-003B-027W-00000-00&amp;context=1530671" TargetMode="External"/><Relationship Id="rId36" Type="http://schemas.openxmlformats.org/officeDocument/2006/relationships/hyperlink" Target="https://plus.lexis.com/api/document?collection=cases&amp;id=urn:contentItem:3S4X-4XC0-003B-027W-00000-00&amp;context=1530671" TargetMode="External"/><Relationship Id="rId10" Type="http://schemas.openxmlformats.org/officeDocument/2006/relationships/hyperlink" Target="https://plus.lexis.com/api/document?collection=statutes-legislation&amp;id=urn:contentItem:8S9D-W4V2-8T6X-74X3-00000-00&amp;context=1530671" TargetMode="External"/><Relationship Id="rId19" Type="http://schemas.openxmlformats.org/officeDocument/2006/relationships/hyperlink" Target="https://plus.lexis.com/api/document?collection=statutes-legislation&amp;id=urn:contentItem:8S9D-W4V2-8T6X-74X4-00000-00&amp;context=1530671" TargetMode="External"/><Relationship Id="rId31" Type="http://schemas.openxmlformats.org/officeDocument/2006/relationships/hyperlink" Target="https://plus.lexis.com/api/document?collection=cases&amp;id=urn:contentItem:3S4X-CY30-003B-73NH-00000-00&amp;context=1530671" TargetMode="External"/><Relationship Id="rId44"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plus.lexis.com/api/document?collection=statutes-legislation&amp;id=urn:contentItem:8S9D-W4V2-8T6X-74X4-00000-00&amp;context=1530671" TargetMode="External"/><Relationship Id="rId14" Type="http://schemas.openxmlformats.org/officeDocument/2006/relationships/hyperlink" Target="https://plus.lexis.com/api/document?collection=cases&amp;id=urn:contentItem:3S4X-7110-003B-72F4-00000-00&amp;context=1530671" TargetMode="External"/><Relationship Id="rId22" Type="http://schemas.openxmlformats.org/officeDocument/2006/relationships/hyperlink" Target="https://plus.lexis.com/api/document?collection=cases&amp;id=urn:contentItem:3S4X-55K0-003B-H45F-00000-00&amp;context=1530671" TargetMode="External"/><Relationship Id="rId27" Type="http://schemas.openxmlformats.org/officeDocument/2006/relationships/hyperlink" Target="https://plus.lexis.com/api/document?collection=cases&amp;id=urn:contentItem:3S4X-5020-003B-H3RV-00000-00&amp;context=1530671" TargetMode="External"/><Relationship Id="rId30" Type="http://schemas.openxmlformats.org/officeDocument/2006/relationships/hyperlink" Target="https://plus.lexis.com/api/document?collection=cases&amp;id=urn:contentItem:3S4X-4XC0-003B-027W-00000-00&amp;context=1530671" TargetMode="External"/><Relationship Id="rId35" Type="http://schemas.openxmlformats.org/officeDocument/2006/relationships/hyperlink" Target="https://plus.lexis.com/api/document?collection=cases&amp;id=urn:contentItem:3S4X-4XC0-003B-027W-00000-00&amp;context=1530671" TargetMode="External"/><Relationship Id="rId43" Type="http://schemas.openxmlformats.org/officeDocument/2006/relationships/footer" Target="footer2.xml"/><Relationship Id="rId8" Type="http://schemas.openxmlformats.org/officeDocument/2006/relationships/hyperlink" Target="https://plus.lexis.com/api/document?collection=statutes-legislation&amp;id=urn:contentItem:8S9D-W4V2-8T6X-74X3-00000-00&amp;context=1530671" TargetMode="External"/><Relationship Id="rId3" Type="http://schemas.openxmlformats.org/officeDocument/2006/relationships/webSettings" Target="webSettings.xml"/><Relationship Id="rId12" Type="http://schemas.openxmlformats.org/officeDocument/2006/relationships/hyperlink" Target="https://plus.lexis.com/api/document?collection=cases&amp;id=urn:contentItem:3S4X-7110-003B-72F4-00000-00&amp;context=1530671" TargetMode="External"/><Relationship Id="rId17" Type="http://schemas.openxmlformats.org/officeDocument/2006/relationships/hyperlink" Target="https://plus.lexis.com/api/document?collection=cases&amp;id=urn:contentItem:3S4X-JTV0-003B-S04W-00000-00&amp;context=1530671" TargetMode="External"/><Relationship Id="rId25" Type="http://schemas.openxmlformats.org/officeDocument/2006/relationships/hyperlink" Target="https://plus.lexis.com/api/document?collection=cases&amp;id=urn:contentItem:3S4X-5020-003B-H3RV-00000-00&amp;context=1530671" TargetMode="External"/><Relationship Id="rId33" Type="http://schemas.openxmlformats.org/officeDocument/2006/relationships/hyperlink" Target="https://plus.lexis.com/api/document?collection=cases&amp;id=urn:contentItem:3S4X-CY30-003B-73NH-00000-00&amp;context=1530671" TargetMode="External"/><Relationship Id="rId38" Type="http://schemas.openxmlformats.org/officeDocument/2006/relationships/hyperlink" Target="https://plus.lexis.com/api/document?collection=cases&amp;id=urn:contentItem:3S4X-4XC0-003B-027W-00000-00&amp;context=1530671" TargetMode="External"/><Relationship Id="rId46" Type="http://schemas.openxmlformats.org/officeDocument/2006/relationships/fontTable" Target="fontTable.xml"/><Relationship Id="rId20" Type="http://schemas.openxmlformats.org/officeDocument/2006/relationships/hyperlink" Target="https://plus.lexis.com/api/document?collection=cases&amp;id=urn:contentItem:3S4X-JX10-003B-S29W-00000-00&amp;context=1530671" TargetMode="External"/><Relationship Id="rId41"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plus.lexis.com/api/document?collection=statutes-legislation&amp;id=urn:contentItem:8S9D-W4V2-8T6X-74YP-00000-00&amp;context=1530671" TargetMode="External"/><Relationship Id="rId2" Type="http://schemas.openxmlformats.org/officeDocument/2006/relationships/hyperlink" Target="https://plus.lexis.com/api/document?collection=statutes-legislation&amp;id=urn:contentItem:8S9D-W4W2-8T6X-70D8-00000-00&amp;context=1530671" TargetMode="External"/><Relationship Id="rId1" Type="http://schemas.openxmlformats.org/officeDocument/2006/relationships/hyperlink" Target="https://plus.lexis.com/api/document?collection=statutes-legislation&amp;id=urn:contentItem:8S9D-W4V2-8T6X-74YR-00000-00&amp;context=15306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4308</Words>
  <Characters>24559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United States v. Paramount Pictures, Inc.</vt:lpstr>
    </vt:vector>
  </TitlesOfParts>
  <Company/>
  <LinksUpToDate>false</LinksUpToDate>
  <CharactersWithSpaces>28810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Paramount Pictures, Inc.</dc:title>
  <cp:lastModifiedBy>Microsoft Office User</cp:lastModifiedBy>
  <cp:revision>3</cp:revision>
  <dcterms:created xsi:type="dcterms:W3CDTF">2022-02-07T13:35:00Z</dcterms:created>
  <dcterms:modified xsi:type="dcterms:W3CDTF">2022-02-07T13:51:00Z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163620416</vt:lpwstr>
  </property>
  <property fmtid="{D5CDD505-2E9C-101B-9397-08002B2CF9AE}" pid="3" name="LADocCount">
    <vt:i4>2</vt:i4>
  </property>
  <property fmtid="{D5CDD505-2E9C-101B-9397-08002B2CF9AE}" pid="4" name="UserPermID">
    <vt:lpwstr>urn:user:PA187292688</vt:lpwstr>
  </property>
</Properties>
</file>