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F9385" w14:textId="77777777" w:rsidR="00F36B17" w:rsidRDefault="00CF0768">
      <w:pPr>
        <w:spacing w:before="240" w:after="200" w:line="340" w:lineRule="atLeast"/>
        <w:jc w:val="center"/>
        <w:outlineLvl w:val="0"/>
        <w:rPr>
          <w:rFonts w:ascii="Arial" w:hAnsi="Arial" w:cs="Arial"/>
          <w:b/>
          <w:bCs/>
          <w:kern w:val="32"/>
          <w:sz w:val="32"/>
          <w:szCs w:val="32"/>
        </w:rPr>
      </w:pPr>
      <w:r>
        <w:fldChar w:fldCharType="begin"/>
      </w:r>
      <w:r>
        <w:instrText xml:space="preserve"> HYPERLINK "https://plus.lexis.com/api/document?collection=cases&amp;id=urn:contentItem:7YB8-69N0-YB0K-K000-00000-00&amp;context=1530671" </w:instrText>
      </w:r>
      <w:r>
        <w:fldChar w:fldCharType="separate"/>
      </w:r>
      <w:proofErr w:type="spellStart"/>
      <w:r>
        <w:rPr>
          <w:rFonts w:ascii="Arial Unicode MS" w:eastAsia="Arial Unicode MS" w:hAnsi="Arial Unicode MS" w:cs="Arial Unicode MS"/>
          <w:b/>
          <w:bCs/>
          <w:i/>
          <w:color w:val="0077CC"/>
          <w:kern w:val="32"/>
          <w:sz w:val="28"/>
          <w:szCs w:val="32"/>
          <w:u w:val="single"/>
          <w:shd w:val="clear" w:color="auto" w:fill="FFFFFF"/>
        </w:rPr>
        <w:t>Batfilm</w:t>
      </w:r>
      <w:proofErr w:type="spellEnd"/>
      <w:r>
        <w:rPr>
          <w:rFonts w:ascii="Arial Unicode MS" w:eastAsia="Arial Unicode MS" w:hAnsi="Arial Unicode MS" w:cs="Arial Unicode MS"/>
          <w:b/>
          <w:bCs/>
          <w:i/>
          <w:color w:val="0077CC"/>
          <w:kern w:val="32"/>
          <w:sz w:val="28"/>
          <w:szCs w:val="32"/>
          <w:u w:val="single"/>
          <w:shd w:val="clear" w:color="auto" w:fill="FFFFFF"/>
        </w:rPr>
        <w:t xml:space="preserve"> Prods. v. Warner Bros.</w:t>
      </w:r>
      <w:r>
        <w:rPr>
          <w:rFonts w:ascii="Arial Unicode MS" w:eastAsia="Arial Unicode MS" w:hAnsi="Arial Unicode MS" w:cs="Arial Unicode MS"/>
          <w:b/>
          <w:bCs/>
          <w:i/>
          <w:color w:val="0077CC"/>
          <w:kern w:val="32"/>
          <w:sz w:val="28"/>
          <w:szCs w:val="32"/>
          <w:u w:val="single"/>
          <w:shd w:val="clear" w:color="auto" w:fill="FFFFFF"/>
        </w:rPr>
        <w:fldChar w:fldCharType="end"/>
      </w:r>
    </w:p>
    <w:p w14:paraId="35BB397F" w14:textId="77777777" w:rsidR="00F36B17" w:rsidRDefault="00CF0768">
      <w:pPr>
        <w:spacing w:before="120" w:line="300" w:lineRule="atLeast"/>
        <w:jc w:val="center"/>
      </w:pPr>
      <w:r>
        <w:rPr>
          <w:rFonts w:ascii="Arial Unicode MS" w:eastAsia="Arial Unicode MS" w:hAnsi="Arial Unicode MS" w:cs="Arial Unicode MS"/>
          <w:color w:val="000000"/>
        </w:rPr>
        <w:t>Appellate Department, Superior Court of California, Los Angeles</w:t>
      </w:r>
    </w:p>
    <w:p w14:paraId="6A99915B" w14:textId="77777777" w:rsidR="00F36B17" w:rsidRDefault="00CF0768">
      <w:pPr>
        <w:spacing w:before="120" w:line="300" w:lineRule="atLeast"/>
        <w:jc w:val="center"/>
      </w:pPr>
      <w:r>
        <w:rPr>
          <w:rFonts w:ascii="Arial Unicode MS" w:eastAsia="Arial Unicode MS" w:hAnsi="Arial Unicode MS" w:cs="Arial Unicode MS"/>
          <w:color w:val="000000"/>
        </w:rPr>
        <w:t>March 14, 1994, Decided; March 14, 1994</w:t>
      </w:r>
    </w:p>
    <w:p w14:paraId="206A3032" w14:textId="77777777" w:rsidR="00F36B17" w:rsidRDefault="00CF0768">
      <w:pPr>
        <w:spacing w:before="120" w:line="300" w:lineRule="atLeast"/>
        <w:jc w:val="center"/>
      </w:pPr>
      <w:r>
        <w:rPr>
          <w:rFonts w:ascii="Arial Unicode MS" w:eastAsia="Arial Unicode MS" w:hAnsi="Arial Unicode MS" w:cs="Arial Unicode MS"/>
          <w:color w:val="000000"/>
        </w:rPr>
        <w:t>Consolidated Cases No. BC 051653 and No. BC 051654</w:t>
      </w:r>
    </w:p>
    <w:p w14:paraId="24C7A35D" w14:textId="77777777" w:rsidR="00F36B17" w:rsidRDefault="00F36B17">
      <w:pPr>
        <w:spacing w:line="240" w:lineRule="atLeast"/>
        <w:jc w:val="both"/>
      </w:pPr>
    </w:p>
    <w:p w14:paraId="19D2FF47" w14:textId="77777777" w:rsidR="00F36B17" w:rsidRDefault="00CF0768">
      <w:pPr>
        <w:spacing w:before="200" w:line="280" w:lineRule="atLeast"/>
      </w:pPr>
      <w:bookmarkStart w:id="0" w:name="Reporter"/>
      <w:bookmarkEnd w:id="0"/>
      <w:r>
        <w:rPr>
          <w:rFonts w:ascii="Arial Unicode MS" w:eastAsia="Arial Unicode MS" w:hAnsi="Arial Unicode MS" w:cs="Arial Unicode MS"/>
          <w:b/>
          <w:color w:val="000000"/>
          <w:sz w:val="22"/>
        </w:rPr>
        <w:t>Reporter</w:t>
      </w:r>
    </w:p>
    <w:p w14:paraId="4E980E20" w14:textId="77777777" w:rsidR="00F36B17" w:rsidRDefault="00CF0768">
      <w:pPr>
        <w:spacing w:line="280" w:lineRule="atLeast"/>
      </w:pPr>
      <w:r>
        <w:rPr>
          <w:rFonts w:ascii="Arial Unicode MS" w:eastAsia="Arial Unicode MS" w:hAnsi="Arial Unicode MS" w:cs="Arial Unicode MS"/>
          <w:color w:val="000000"/>
          <w:sz w:val="22"/>
        </w:rPr>
        <w:t>1994 Cal. App. LEXIS 1333 *</w:t>
      </w:r>
    </w:p>
    <w:p w14:paraId="3A62B878" w14:textId="77777777" w:rsidR="00F36B17" w:rsidRDefault="00CF0768">
      <w:pPr>
        <w:spacing w:before="120" w:line="300" w:lineRule="atLeast"/>
      </w:pPr>
      <w:proofErr w:type="spellStart"/>
      <w:r>
        <w:rPr>
          <w:rFonts w:ascii="Arial Unicode MS" w:eastAsia="Arial Unicode MS" w:hAnsi="Arial Unicode MS" w:cs="Arial Unicode MS"/>
          <w:color w:val="000000"/>
        </w:rPr>
        <w:t>Batfilm</w:t>
      </w:r>
      <w:proofErr w:type="spellEnd"/>
      <w:r>
        <w:rPr>
          <w:rFonts w:ascii="Arial Unicode MS" w:eastAsia="Arial Unicode MS" w:hAnsi="Arial Unicode MS" w:cs="Arial Unicode MS"/>
          <w:color w:val="000000"/>
        </w:rPr>
        <w:t xml:space="preserve"> Productions, Inc., et al., Plaintiffs, v. Warner Bros. Inc., et al., Defendants.</w:t>
      </w:r>
    </w:p>
    <w:p w14:paraId="784B9B12" w14:textId="77777777" w:rsidR="00F36B17" w:rsidRDefault="00CF0768">
      <w:pPr>
        <w:spacing w:before="240" w:line="300" w:lineRule="atLeast"/>
      </w:pPr>
      <w:bookmarkStart w:id="1" w:name="Judges"/>
      <w:bookmarkEnd w:id="1"/>
      <w:r>
        <w:rPr>
          <w:rFonts w:ascii="Arial Unicode MS" w:eastAsia="Arial Unicode MS" w:hAnsi="Arial Unicode MS" w:cs="Arial Unicode MS"/>
          <w:b/>
          <w:color w:val="000000"/>
        </w:rPr>
        <w:t>Judges:</w:t>
      </w:r>
      <w:r>
        <w:rPr>
          <w:rFonts w:ascii="Arial Unicode MS" w:eastAsia="Arial Unicode MS" w:hAnsi="Arial Unicode MS" w:cs="Arial Unicode MS"/>
          <w:color w:val="000000"/>
        </w:rPr>
        <w:t> </w:t>
      </w:r>
      <w:r>
        <w:rPr>
          <w:rFonts w:ascii="Arial Unicode MS" w:eastAsia="Arial Unicode MS" w:hAnsi="Arial Unicode MS" w:cs="Arial Unicode MS"/>
          <w:b/>
          <w:color w:val="000000"/>
        </w:rPr>
        <w:t> [*1] </w:t>
      </w:r>
      <w:proofErr w:type="spellStart"/>
      <w:r>
        <w:rPr>
          <w:rFonts w:ascii="Arial Unicode MS" w:eastAsia="Arial Unicode MS" w:hAnsi="Arial Unicode MS" w:cs="Arial Unicode MS"/>
          <w:color w:val="000000"/>
        </w:rPr>
        <w:t>Yaffe</w:t>
      </w:r>
      <w:proofErr w:type="spellEnd"/>
      <w:r>
        <w:rPr>
          <w:rFonts w:ascii="Arial Unicode MS" w:eastAsia="Arial Unicode MS" w:hAnsi="Arial Unicode MS" w:cs="Arial Unicode MS"/>
          <w:color w:val="000000"/>
        </w:rPr>
        <w:t>, J.</w:t>
      </w:r>
    </w:p>
    <w:p w14:paraId="07890CAF" w14:textId="77777777" w:rsidR="00F36B17" w:rsidRDefault="00CF0768">
      <w:pPr>
        <w:spacing w:before="240" w:line="300" w:lineRule="atLeast"/>
      </w:pPr>
      <w:bookmarkStart w:id="2" w:name="Opinion_by"/>
      <w:bookmarkEnd w:id="2"/>
      <w:r>
        <w:rPr>
          <w:rFonts w:ascii="Arial Unicode MS" w:eastAsia="Arial Unicode MS" w:hAnsi="Arial Unicode MS" w:cs="Arial Unicode MS"/>
          <w:b/>
          <w:color w:val="000000"/>
        </w:rPr>
        <w:t>Opinion by:</w:t>
      </w:r>
      <w:r>
        <w:rPr>
          <w:rFonts w:ascii="Arial Unicode MS" w:eastAsia="Arial Unicode MS" w:hAnsi="Arial Unicode MS" w:cs="Arial Unicode MS"/>
          <w:color w:val="000000"/>
        </w:rPr>
        <w:t> </w:t>
      </w:r>
      <w:proofErr w:type="spellStart"/>
      <w:r>
        <w:rPr>
          <w:rFonts w:ascii="Arial Unicode MS" w:eastAsia="Arial Unicode MS" w:hAnsi="Arial Unicode MS" w:cs="Arial Unicode MS"/>
          <w:color w:val="000000"/>
        </w:rPr>
        <w:t>Yaffe</w:t>
      </w:r>
      <w:proofErr w:type="spellEnd"/>
    </w:p>
    <w:p w14:paraId="2FB854E4" w14:textId="77777777" w:rsidR="00F36B17" w:rsidRDefault="00CF0768">
      <w:pPr>
        <w:keepNext/>
        <w:spacing w:before="240" w:line="340" w:lineRule="atLeast"/>
      </w:pPr>
      <w:bookmarkStart w:id="3" w:name="Opinion"/>
      <w:bookmarkEnd w:id="3"/>
      <w:r>
        <w:rPr>
          <w:rFonts w:ascii="Arial Unicode MS" w:eastAsia="Arial Unicode MS" w:hAnsi="Arial Unicode MS" w:cs="Arial Unicode MS"/>
          <w:b/>
          <w:color w:val="000000"/>
          <w:sz w:val="28"/>
        </w:rPr>
        <w:t>Opinion</w:t>
      </w:r>
    </w:p>
    <w:p w14:paraId="4D9D74F6" w14:textId="77777777" w:rsidR="00F36B17" w:rsidRDefault="00C75F6B">
      <w:pPr>
        <w:spacing w:line="60" w:lineRule="exact"/>
      </w:pPr>
      <w:r>
        <w:pict w14:anchorId="12EE157C">
          <v:line id="_x0000_s2051" alt="" style="position:absolute;z-index:251658240;mso-wrap-edited:f;mso-width-percent:0;mso-height-percent:0;mso-width-percent:0;mso-height-percent:0" from="0,2pt" to="512pt,2pt" strokecolor="#009ddb" strokeweight="2pt">
            <w10:wrap type="topAndBottom"/>
          </v:line>
        </w:pict>
      </w:r>
    </w:p>
    <w:p w14:paraId="2C9CDBCF" w14:textId="77777777" w:rsidR="00F36B17" w:rsidRDefault="00F36B17"/>
    <w:p w14:paraId="18A950E5" w14:textId="77777777" w:rsidR="00F36B17" w:rsidRDefault="00CF0768">
      <w:pPr>
        <w:spacing w:before="200" w:line="300" w:lineRule="atLeast"/>
        <w:jc w:val="both"/>
      </w:pPr>
      <w:bookmarkStart w:id="4" w:name="Bookmark_para_1"/>
      <w:bookmarkEnd w:id="4"/>
      <w:r>
        <w:rPr>
          <w:rFonts w:ascii="Arial Unicode MS" w:eastAsia="Arial Unicode MS" w:hAnsi="Arial Unicode MS" w:cs="Arial Unicode MS"/>
          <w:b/>
          <w:color w:val="000000"/>
        </w:rPr>
        <w:t>YAFFE, J</w:t>
      </w:r>
      <w:r>
        <w:rPr>
          <w:rFonts w:ascii="Arial Unicode MS" w:eastAsia="Arial Unicode MS" w:hAnsi="Arial Unicode MS" w:cs="Arial Unicode MS"/>
          <w:color w:val="000000"/>
        </w:rPr>
        <w:t>.--Phase I Statement of Decision</w:t>
      </w:r>
    </w:p>
    <w:p w14:paraId="3291199D" w14:textId="77777777" w:rsidR="00F36B17" w:rsidRDefault="00CF0768">
      <w:pPr>
        <w:spacing w:before="200" w:line="300" w:lineRule="atLeast"/>
        <w:jc w:val="both"/>
      </w:pPr>
      <w:bookmarkStart w:id="5" w:name="Bookmark_para_2"/>
      <w:bookmarkEnd w:id="5"/>
      <w:r>
        <w:rPr>
          <w:rFonts w:ascii="Arial Unicode MS" w:eastAsia="Arial Unicode MS" w:hAnsi="Arial Unicode MS" w:cs="Arial Unicode MS"/>
          <w:color w:val="000000"/>
        </w:rPr>
        <w:t>The Court divided the trial of this case into two phases. Phase I consisted of a bench trial of plaintiffs' non-jury claims. Those claims primarily concern plaintiffs' “Net Profits” participation in the Batman motion pictures.</w:t>
      </w:r>
    </w:p>
    <w:p w14:paraId="03906D43" w14:textId="18CA1F83" w:rsidR="00F36B17" w:rsidRDefault="00CF0768">
      <w:pPr>
        <w:spacing w:before="200" w:line="300" w:lineRule="atLeast"/>
        <w:jc w:val="both"/>
      </w:pPr>
      <w:bookmarkStart w:id="6" w:name="Bookmark_para_3"/>
      <w:bookmarkEnd w:id="6"/>
      <w:r>
        <w:rPr>
          <w:rFonts w:ascii="Arial Unicode MS" w:eastAsia="Arial Unicode MS" w:hAnsi="Arial Unicode MS" w:cs="Arial Unicode MS"/>
          <w:color w:val="000000"/>
        </w:rPr>
        <w:t xml:space="preserve">The plaintiffs are two individuals, Benjamin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Michael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and the two corporations that furnish their services, </w:t>
      </w:r>
      <w:proofErr w:type="spellStart"/>
      <w:r>
        <w:rPr>
          <w:rFonts w:ascii="Arial Unicode MS" w:eastAsia="Arial Unicode MS" w:hAnsi="Arial Unicode MS" w:cs="Arial Unicode MS"/>
          <w:color w:val="000000"/>
        </w:rPr>
        <w:t>Batfilm</w:t>
      </w:r>
      <w:proofErr w:type="spellEnd"/>
      <w:r>
        <w:rPr>
          <w:rFonts w:ascii="Arial Unicode MS" w:eastAsia="Arial Unicode MS" w:hAnsi="Arial Unicode MS" w:cs="Arial Unicode MS"/>
          <w:color w:val="000000"/>
        </w:rPr>
        <w:t xml:space="preserve"> Productions, Inc., and Franklin Enterprises, Ltd. The defendants are Warner Bros. and Polygram Pictures, Inc. </w:t>
      </w:r>
    </w:p>
    <w:p w14:paraId="56BC52EB" w14:textId="77777777" w:rsidR="00F36B17" w:rsidRDefault="00CF0768">
      <w:pPr>
        <w:spacing w:before="200" w:line="300" w:lineRule="atLeast"/>
        <w:jc w:val="both"/>
      </w:pPr>
      <w:bookmarkStart w:id="7" w:name="Bookmark_para_4"/>
      <w:bookmarkEnd w:id="7"/>
      <w:r>
        <w:rPr>
          <w:rFonts w:ascii="Arial Unicode MS" w:eastAsia="Arial Unicode MS" w:hAnsi="Arial Unicode MS" w:cs="Arial Unicode MS"/>
          <w:color w:val="000000"/>
        </w:rPr>
        <w:t xml:space="preserve">In 1979, Mr.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Mr.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obtained an option on the motion picture rights to the Batman comic book characters. In November 1979, they made a deal with Casablanca Productions (Polygram's predecessor) for the development and production of a motion picture to be based on those characters (the “Casablanca Agreement”). Under the Casablanca Agreement, Mr.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Mr.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were entitled to receive certain fixed and contingent compensation if a Batman motion picture were </w:t>
      </w:r>
      <w:r>
        <w:rPr>
          <w:rFonts w:ascii="Arial Unicode MS" w:eastAsia="Arial Unicode MS" w:hAnsi="Arial Unicode MS" w:cs="Arial Unicode MS"/>
          <w:b/>
          <w:color w:val="000000"/>
        </w:rPr>
        <w:t> [*2] </w:t>
      </w:r>
      <w:r>
        <w:rPr>
          <w:rFonts w:ascii="Arial Unicode MS" w:eastAsia="Arial Unicode MS" w:hAnsi="Arial Unicode MS" w:cs="Arial Unicode MS"/>
          <w:color w:val="000000"/>
        </w:rPr>
        <w:t>produced.</w:t>
      </w:r>
    </w:p>
    <w:p w14:paraId="11C5E853" w14:textId="77777777" w:rsidR="00F36B17" w:rsidRDefault="00CF0768">
      <w:pPr>
        <w:spacing w:before="200" w:line="300" w:lineRule="atLeast"/>
        <w:jc w:val="both"/>
      </w:pPr>
      <w:bookmarkStart w:id="8" w:name="Bookmark_para_5"/>
      <w:bookmarkEnd w:id="8"/>
      <w:r>
        <w:rPr>
          <w:rFonts w:ascii="Arial Unicode MS" w:eastAsia="Arial Unicode MS" w:hAnsi="Arial Unicode MS" w:cs="Arial Unicode MS"/>
          <w:color w:val="000000"/>
        </w:rPr>
        <w:lastRenderedPageBreak/>
        <w:t xml:space="preserve">In 1981, Polygram assigned to Warner Bros. its rights and obligations under the Casablanca Agreement. In 1988, Mr.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Mr.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and Warner Bros. signed a written amendment to the Casablanca Agreement (the “Warner Agreement”). Under the Warner Agreement, Mr.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Mr.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were entitled to receive $ 300,000 in fixed compensation for Batman, plus a $ 100,000 “deferment” once the film generated a certain level of receipts, plus 13% of the so-called “Net Profits,” as defined in an attachment to the Warner Agreement.</w:t>
      </w:r>
    </w:p>
    <w:p w14:paraId="706E81A8" w14:textId="77777777" w:rsidR="00F36B17" w:rsidRDefault="00CF0768">
      <w:pPr>
        <w:spacing w:before="200" w:line="300" w:lineRule="atLeast"/>
        <w:jc w:val="both"/>
      </w:pPr>
      <w:bookmarkStart w:id="9" w:name="Bookmark_para_6"/>
      <w:bookmarkEnd w:id="9"/>
      <w:r>
        <w:rPr>
          <w:rFonts w:ascii="Arial Unicode MS" w:eastAsia="Arial Unicode MS" w:hAnsi="Arial Unicode MS" w:cs="Arial Unicode MS"/>
          <w:color w:val="000000"/>
        </w:rPr>
        <w:t xml:space="preserve">Warner Bros. has paid Messrs.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the $ 300,000 fixed fee and $ 100,000 deferment. Under the Warner Agreement, Warner Bros. has also paid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an additional $ 700,000 in fixed fees on two additional motion pictures (Batman Returns and Batman: Mask of the Phantasm). Warner Bros. will have similar financial obligations to plaintiffs on each additional Batman motion picture. Although Batman has generated more revenue than any other Warner Bros. film, it has not generated any “Net Profits” under plaintiffs' contract.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filed suit in 1992 claiming, inter alia, they were denied their fair “Net Profits” compensation.</w:t>
      </w:r>
    </w:p>
    <w:p w14:paraId="5A70EB23" w14:textId="0BC62B52" w:rsidR="00F36B17" w:rsidRDefault="00CF0768">
      <w:pPr>
        <w:spacing w:before="200" w:line="300" w:lineRule="atLeast"/>
        <w:jc w:val="both"/>
      </w:pPr>
      <w:bookmarkStart w:id="10" w:name="Bookmark_para_7"/>
      <w:bookmarkEnd w:id="10"/>
      <w:proofErr w:type="gramStart"/>
      <w:r>
        <w:rPr>
          <w:rFonts w:ascii="Arial Unicode MS" w:eastAsia="Arial Unicode MS" w:hAnsi="Arial Unicode MS" w:cs="Arial Unicode MS"/>
          <w:color w:val="000000"/>
        </w:rPr>
        <w:t xml:space="preserve">The </w:t>
      </w:r>
      <w:r>
        <w:rPr>
          <w:rFonts w:ascii="Arial Unicode MS" w:eastAsia="Arial Unicode MS" w:hAnsi="Arial Unicode MS" w:cs="Arial Unicode MS"/>
          <w:b/>
          <w:color w:val="000000"/>
        </w:rPr>
        <w:t> [</w:t>
      </w:r>
      <w:proofErr w:type="gramEnd"/>
      <w:r>
        <w:rPr>
          <w:rFonts w:ascii="Arial Unicode MS" w:eastAsia="Arial Unicode MS" w:hAnsi="Arial Unicode MS" w:cs="Arial Unicode MS"/>
          <w:b/>
          <w:color w:val="000000"/>
        </w:rPr>
        <w:t>*3] </w:t>
      </w:r>
      <w:r>
        <w:rPr>
          <w:rFonts w:ascii="Arial Unicode MS" w:eastAsia="Arial Unicode MS" w:hAnsi="Arial Unicode MS" w:cs="Arial Unicode MS"/>
          <w:color w:val="000000"/>
        </w:rPr>
        <w:t xml:space="preserve">primary claim </w:t>
      </w:r>
      <w:r w:rsidR="00FB6C90">
        <w:rPr>
          <w:rFonts w:ascii="Arial Unicode MS" w:eastAsia="Arial Unicode MS" w:hAnsi="Arial Unicode MS" w:cs="Arial Unicode MS"/>
          <w:color w:val="000000"/>
        </w:rPr>
        <w:t>. . . [was]</w:t>
      </w:r>
      <w:r>
        <w:rPr>
          <w:rFonts w:ascii="Arial Unicode MS" w:eastAsia="Arial Unicode MS" w:hAnsi="Arial Unicode MS" w:cs="Arial Unicode MS"/>
          <w:color w:val="000000"/>
        </w:rPr>
        <w:t xml:space="preserve"> the Eleventh Cause of Action for a declaration that plaintiffs' “Net Profits” definition is unconscionable and, thus, unenforceable.</w:t>
      </w:r>
      <w:r w:rsidR="00FB6C90">
        <w:rPr>
          <w:rFonts w:ascii="Arial Unicode MS" w:eastAsia="Arial Unicode MS" w:hAnsi="Arial Unicode MS" w:cs="Arial Unicode MS"/>
          <w:color w:val="000000"/>
        </w:rPr>
        <w:t xml:space="preserve"> . . .</w:t>
      </w:r>
      <w:r>
        <w:rPr>
          <w:rFonts w:ascii="Arial Unicode MS" w:eastAsia="Arial Unicode MS" w:hAnsi="Arial Unicode MS" w:cs="Arial Unicode MS"/>
          <w:color w:val="000000"/>
        </w:rPr>
        <w:t xml:space="preserve"> </w:t>
      </w:r>
    </w:p>
    <w:p w14:paraId="38F98724" w14:textId="4130AD9A" w:rsidR="00F36B17" w:rsidRDefault="00CF0768">
      <w:pPr>
        <w:spacing w:before="240" w:line="300" w:lineRule="atLeast"/>
        <w:jc w:val="both"/>
      </w:pPr>
      <w:bookmarkStart w:id="11" w:name="Bookmark_para_8"/>
      <w:bookmarkEnd w:id="11"/>
      <w:r>
        <w:rPr>
          <w:rFonts w:ascii="Arial Unicode MS" w:eastAsia="Arial Unicode MS" w:hAnsi="Arial Unicode MS" w:cs="Arial Unicode MS"/>
          <w:color w:val="000000"/>
        </w:rPr>
        <w:t xml:space="preserve">In reviewing the evidence, the Court believed that Mr.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and Mr. </w:t>
      </w:r>
      <w:proofErr w:type="spellStart"/>
      <w:r>
        <w:rPr>
          <w:rFonts w:ascii="Arial Unicode MS" w:eastAsia="Arial Unicode MS" w:hAnsi="Arial Unicode MS" w:cs="Arial Unicode MS"/>
          <w:color w:val="000000"/>
        </w:rPr>
        <w:t>Uslan</w:t>
      </w:r>
      <w:proofErr w:type="spellEnd"/>
      <w:r>
        <w:rPr>
          <w:rFonts w:ascii="Arial Unicode MS" w:eastAsia="Arial Unicode MS" w:hAnsi="Arial Unicode MS" w:cs="Arial Unicode MS"/>
          <w:color w:val="000000"/>
        </w:rPr>
        <w:t xml:space="preserve"> had offered evidence to prove that the Warner Agreement was contract of adhesion that should be strictly interpreted against Warner Bros. and should not be interpreted in a way that would be contrary to plaintiffs' reasonable expectations.</w:t>
      </w:r>
    </w:p>
    <w:p w14:paraId="57C2395B" w14:textId="77777777" w:rsidR="00F36B17" w:rsidRDefault="00CF0768">
      <w:pPr>
        <w:spacing w:before="200" w:line="300" w:lineRule="atLeast"/>
        <w:jc w:val="both"/>
      </w:pPr>
      <w:bookmarkStart w:id="12" w:name="Bookmark_para_9"/>
      <w:bookmarkEnd w:id="12"/>
      <w:r>
        <w:rPr>
          <w:rFonts w:ascii="Arial Unicode MS" w:eastAsia="Arial Unicode MS" w:hAnsi="Arial Unicode MS" w:cs="Arial Unicode MS"/>
          <w:color w:val="000000"/>
        </w:rPr>
        <w:t xml:space="preserve">But a contract of adhesion is a contract, and a contract of adhesion is not the same as an unconscionable contract, which is no contract at all. “Unconscionability” </w:t>
      </w:r>
      <w:r>
        <w:rPr>
          <w:rFonts w:ascii="Arial Unicode MS" w:eastAsia="Arial Unicode MS" w:hAnsi="Arial Unicode MS" w:cs="Arial Unicode MS"/>
          <w:b/>
          <w:color w:val="000000"/>
        </w:rPr>
        <w:t> [*4] </w:t>
      </w:r>
      <w:r>
        <w:rPr>
          <w:rFonts w:ascii="Arial Unicode MS" w:eastAsia="Arial Unicode MS" w:hAnsi="Arial Unicode MS" w:cs="Arial Unicode MS"/>
          <w:color w:val="000000"/>
        </w:rPr>
        <w:t>requires a far different level of proof. The plaintiffs did not prove that they are to be relieved of their contract with Warner Bros. on the ground of unconscionability.</w:t>
      </w:r>
    </w:p>
    <w:p w14:paraId="511F4AA0" w14:textId="77777777" w:rsidR="00F36B17" w:rsidRDefault="00CF0768">
      <w:pPr>
        <w:spacing w:before="200" w:line="300" w:lineRule="atLeast"/>
        <w:jc w:val="both"/>
      </w:pPr>
      <w:bookmarkStart w:id="13" w:name="Bookmark_para_10"/>
      <w:bookmarkEnd w:id="13"/>
      <w:r>
        <w:rPr>
          <w:rFonts w:ascii="Arial Unicode MS" w:eastAsia="Arial Unicode MS" w:hAnsi="Arial Unicode MS" w:cs="Arial Unicode MS"/>
          <w:color w:val="000000"/>
        </w:rPr>
        <w:t xml:space="preserve">Mr.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negotiated the Warner Agreement on his and Mr. </w:t>
      </w:r>
      <w:proofErr w:type="spellStart"/>
      <w:r>
        <w:rPr>
          <w:rFonts w:ascii="Arial Unicode MS" w:eastAsia="Arial Unicode MS" w:hAnsi="Arial Unicode MS" w:cs="Arial Unicode MS"/>
          <w:color w:val="000000"/>
        </w:rPr>
        <w:t>Uslan's</w:t>
      </w:r>
      <w:proofErr w:type="spellEnd"/>
      <w:r>
        <w:rPr>
          <w:rFonts w:ascii="Arial Unicode MS" w:eastAsia="Arial Unicode MS" w:hAnsi="Arial Unicode MS" w:cs="Arial Unicode MS"/>
          <w:color w:val="000000"/>
        </w:rPr>
        <w:t xml:space="preserve"> behalf. No one is less likely to have been coerced against his will into signing a contract like the Warner Agreement than Mr.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This former general counsel and senior executive of a major motion picture studio (Metro-Goldwyn-Mayer) knew all the tricks of the trade; he knew inside and out how these contracts work, what they mean, and how they are negotiated.</w:t>
      </w:r>
    </w:p>
    <w:p w14:paraId="387EAB8D" w14:textId="77777777" w:rsidR="00F36B17" w:rsidRDefault="00CF0768">
      <w:pPr>
        <w:spacing w:before="200" w:line="300" w:lineRule="atLeast"/>
        <w:jc w:val="both"/>
      </w:pPr>
      <w:bookmarkStart w:id="14" w:name="Bookmark_para_11"/>
      <w:bookmarkEnd w:id="14"/>
      <w:r>
        <w:rPr>
          <w:rFonts w:ascii="Arial Unicode MS" w:eastAsia="Arial Unicode MS" w:hAnsi="Arial Unicode MS" w:cs="Arial Unicode MS"/>
          <w:color w:val="000000"/>
        </w:rPr>
        <w:lastRenderedPageBreak/>
        <w:t xml:space="preserve">Even with Mr. </w:t>
      </w:r>
      <w:proofErr w:type="spellStart"/>
      <w:r>
        <w:rPr>
          <w:rFonts w:ascii="Arial Unicode MS" w:eastAsia="Arial Unicode MS" w:hAnsi="Arial Unicode MS" w:cs="Arial Unicode MS"/>
          <w:color w:val="000000"/>
        </w:rPr>
        <w:t>Melniker's</w:t>
      </w:r>
      <w:proofErr w:type="spellEnd"/>
      <w:r>
        <w:rPr>
          <w:rFonts w:ascii="Arial Unicode MS" w:eastAsia="Arial Unicode MS" w:hAnsi="Arial Unicode MS" w:cs="Arial Unicode MS"/>
          <w:color w:val="000000"/>
        </w:rPr>
        <w:t xml:space="preserve"> knowledge and experience, plaintiffs complain that Warner Bros. knew when the parties signed the Warner Agreement in 1988 that Batman would not generate “Net Profits.” Plaintiffs did not explain the relevance of this to the issue of whether their contract is unconscionable. Even if they had, however, they failed to prove that Warner Bros. knew in 1988 that Batman would not generate any “Net Profits.”</w:t>
      </w:r>
    </w:p>
    <w:p w14:paraId="6E880860" w14:textId="77777777" w:rsidR="00F36B17" w:rsidRDefault="00CF0768">
      <w:pPr>
        <w:spacing w:before="200" w:line="300" w:lineRule="atLeast"/>
        <w:jc w:val="both"/>
      </w:pPr>
      <w:bookmarkStart w:id="15" w:name="Bookmark_para_12"/>
      <w:bookmarkEnd w:id="15"/>
      <w:r>
        <w:rPr>
          <w:rFonts w:ascii="Arial Unicode MS" w:eastAsia="Arial Unicode MS" w:hAnsi="Arial Unicode MS" w:cs="Arial Unicode MS"/>
          <w:color w:val="000000"/>
        </w:rPr>
        <w:t xml:space="preserve">At the core of plaintiffs' case is their argument that the contract was not fair to them because Warner Bros. and others earned millions of dollars on Batman and plaintiffs </w:t>
      </w:r>
      <w:r>
        <w:rPr>
          <w:rFonts w:ascii="Arial Unicode MS" w:eastAsia="Arial Unicode MS" w:hAnsi="Arial Unicode MS" w:cs="Arial Unicode MS"/>
          <w:b/>
          <w:color w:val="000000"/>
        </w:rPr>
        <w:t> [*5] </w:t>
      </w:r>
      <w:r>
        <w:rPr>
          <w:rFonts w:ascii="Arial Unicode MS" w:eastAsia="Arial Unicode MS" w:hAnsi="Arial Unicode MS" w:cs="Arial Unicode MS"/>
          <w:color w:val="000000"/>
        </w:rPr>
        <w:t>did not. The answer that argument is that ever since the King's Bench decided Slade's Case in 1602, right down to today, courts do not refuse to enforce contracts or remake contracts for the parties because the court or the jury thinks that the contract is not fair.</w:t>
      </w:r>
    </w:p>
    <w:p w14:paraId="73B64801" w14:textId="77777777" w:rsidR="00F36B17" w:rsidRDefault="00CF0768">
      <w:pPr>
        <w:spacing w:before="200" w:line="300" w:lineRule="atLeast"/>
        <w:jc w:val="both"/>
      </w:pPr>
      <w:bookmarkStart w:id="16" w:name="Bookmark_para_13"/>
      <w:bookmarkEnd w:id="16"/>
      <w:r>
        <w:rPr>
          <w:rFonts w:ascii="Arial Unicode MS" w:eastAsia="Arial Unicode MS" w:hAnsi="Arial Unicode MS" w:cs="Arial Unicode MS"/>
          <w:color w:val="000000"/>
        </w:rPr>
        <w:t>That principle is not some medieval anachronism. This society, this country, this culture operates on the basis of billions of bargains struck willingly every day by people all across the country in all walks of life. And if any one of those people could have their bargain reexamined after the fact on the ground that it was not fair or on an assertion that it was not fair, we would have a far different type of society than we have now; we would have one that none of the parties to this case would like very much.</w:t>
      </w:r>
    </w:p>
    <w:p w14:paraId="32F53564" w14:textId="77777777" w:rsidR="00F36B17" w:rsidRDefault="00CF0768">
      <w:pPr>
        <w:spacing w:before="240" w:line="300" w:lineRule="atLeast"/>
        <w:jc w:val="both"/>
      </w:pPr>
      <w:bookmarkStart w:id="17" w:name="Bookmark_para_14"/>
      <w:bookmarkEnd w:id="17"/>
      <w:r>
        <w:rPr>
          <w:rFonts w:ascii="Arial Unicode MS" w:eastAsia="Arial Unicode MS" w:hAnsi="Arial Unicode MS" w:cs="Arial Unicode MS"/>
          <w:color w:val="000000"/>
        </w:rPr>
        <w:t xml:space="preserve">When one talks about a motion picture and the claims of this type that are made, they all have one thing in common: the plaintiff comes in and says, “Without me, they would have had nothing, and look how they treated me.” But the process of making a motion picture consists of the process of bargaining with many talented people on many different and inconsistent bases, and making bargains with them that cannot rationally </w:t>
      </w:r>
      <w:r>
        <w:rPr>
          <w:rFonts w:ascii="Arial Unicode MS" w:eastAsia="Arial Unicode MS" w:hAnsi="Arial Unicode MS" w:cs="Arial Unicode MS"/>
          <w:b/>
          <w:color w:val="000000"/>
        </w:rPr>
        <w:t> [*6] </w:t>
      </w:r>
      <w:r>
        <w:rPr>
          <w:rFonts w:ascii="Arial Unicode MS" w:eastAsia="Arial Unicode MS" w:hAnsi="Arial Unicode MS" w:cs="Arial Unicode MS"/>
          <w:color w:val="000000"/>
        </w:rPr>
        <w:t xml:space="preserve">be compared one to another. It would not be good for the motion picture business or for the parties to this case if any one of those people on any motion picture could come back and ask a court to remake the bargain that he made on the ground that he now asserts, after the fact and in light of the success of the picture, that he was not fairly treated in comparison with others. Whether a contract is fair is not the issue. A contract is not unconscionable simply because it is not fair. Plaintiffs claim that the Warner Agreement is unconscionable within the meaning of </w:t>
      </w:r>
      <w:hyperlink r:id="rId6" w:history="1">
        <w:r>
          <w:rPr>
            <w:rFonts w:ascii="Arial Unicode MS" w:eastAsia="Arial Unicode MS" w:hAnsi="Arial Unicode MS" w:cs="Arial Unicode MS"/>
            <w:i/>
            <w:color w:val="0077CC"/>
            <w:u w:val="single"/>
            <w:shd w:val="clear" w:color="auto" w:fill="FFFFFF"/>
          </w:rPr>
          <w:t>Civil Code section 1670.5</w:t>
        </w:r>
      </w:hyperlink>
      <w:r>
        <w:rPr>
          <w:rFonts w:ascii="Arial Unicode MS" w:eastAsia="Arial Unicode MS" w:hAnsi="Arial Unicode MS" w:cs="Arial Unicode MS"/>
          <w:color w:val="000000"/>
        </w:rPr>
        <w:t>. To be unconscionable, a contract must “shock the conscience” or, as plaintiffs alleged in paragraph 139(b) of their complaint, it must be “harsh, oppressive, and unduly one-sided.”</w:t>
      </w:r>
    </w:p>
    <w:p w14:paraId="040E0DE1" w14:textId="77777777" w:rsidR="00F36B17" w:rsidRDefault="00CF0768">
      <w:pPr>
        <w:spacing w:before="200" w:line="300" w:lineRule="atLeast"/>
        <w:jc w:val="both"/>
      </w:pPr>
      <w:bookmarkStart w:id="18" w:name="Bookmark_para_15"/>
      <w:bookmarkEnd w:id="18"/>
      <w:r>
        <w:rPr>
          <w:rFonts w:ascii="Arial Unicode MS" w:eastAsia="Arial Unicode MS" w:hAnsi="Arial Unicode MS" w:cs="Arial Unicode MS"/>
          <w:color w:val="000000"/>
        </w:rPr>
        <w:lastRenderedPageBreak/>
        <w:t>After considering all the evidence, the Court finds that the plaintiffs have failed to prove that the Warner Agreement, taken as a whole, is unconscionable.</w:t>
      </w:r>
    </w:p>
    <w:p w14:paraId="2A372E55" w14:textId="77777777" w:rsidR="00F36B17" w:rsidRDefault="00CF0768">
      <w:pPr>
        <w:spacing w:before="240" w:line="300" w:lineRule="atLeast"/>
        <w:jc w:val="both"/>
      </w:pPr>
      <w:bookmarkStart w:id="19" w:name="Bookmark_para_16"/>
      <w:bookmarkEnd w:id="19"/>
      <w:r>
        <w:rPr>
          <w:rFonts w:ascii="Arial Unicode MS" w:eastAsia="Arial Unicode MS" w:hAnsi="Arial Unicode MS" w:cs="Arial Unicode MS"/>
          <w:color w:val="000000"/>
        </w:rPr>
        <w:t xml:space="preserve">That, however, is not the end of the inquiry that the Court must make. Under </w:t>
      </w:r>
      <w:hyperlink r:id="rId7" w:history="1">
        <w:r>
          <w:rPr>
            <w:rFonts w:ascii="Arial Unicode MS" w:eastAsia="Arial Unicode MS" w:hAnsi="Arial Unicode MS" w:cs="Arial Unicode MS"/>
            <w:i/>
            <w:color w:val="0077CC"/>
            <w:u w:val="single"/>
            <w:shd w:val="clear" w:color="auto" w:fill="FFFFFF"/>
          </w:rPr>
          <w:t>Civil Code section 1670.5</w:t>
        </w:r>
      </w:hyperlink>
      <w:r>
        <w:rPr>
          <w:rFonts w:ascii="Arial Unicode MS" w:eastAsia="Arial Unicode MS" w:hAnsi="Arial Unicode MS" w:cs="Arial Unicode MS"/>
          <w:color w:val="000000"/>
        </w:rPr>
        <w:t>, if the evidence shows that any part of a contract is unconscionable, the Court may refuse to enforce that part of the contract.</w:t>
      </w:r>
    </w:p>
    <w:p w14:paraId="21F93232" w14:textId="5C21CAAF" w:rsidR="00F36B17" w:rsidRDefault="00CF0768">
      <w:pPr>
        <w:spacing w:before="200" w:line="300" w:lineRule="atLeast"/>
        <w:jc w:val="both"/>
      </w:pPr>
      <w:bookmarkStart w:id="20" w:name="Bookmark_para_17"/>
      <w:bookmarkEnd w:id="20"/>
      <w:r>
        <w:rPr>
          <w:rFonts w:ascii="Arial Unicode MS" w:eastAsia="Arial Unicode MS" w:hAnsi="Arial Unicode MS" w:cs="Arial Unicode MS"/>
          <w:color w:val="000000"/>
        </w:rPr>
        <w:t xml:space="preserve">During the trial, plaintiffs </w:t>
      </w:r>
      <w:proofErr w:type="gramStart"/>
      <w:r>
        <w:rPr>
          <w:rFonts w:ascii="Arial Unicode MS" w:eastAsia="Arial Unicode MS" w:hAnsi="Arial Unicode MS" w:cs="Arial Unicode MS"/>
          <w:color w:val="000000"/>
        </w:rPr>
        <w:t xml:space="preserve">claimed </w:t>
      </w:r>
      <w:r>
        <w:rPr>
          <w:rFonts w:ascii="Arial Unicode MS" w:eastAsia="Arial Unicode MS" w:hAnsi="Arial Unicode MS" w:cs="Arial Unicode MS"/>
          <w:b/>
          <w:color w:val="000000"/>
        </w:rPr>
        <w:t> [</w:t>
      </w:r>
      <w:proofErr w:type="gramEnd"/>
      <w:r>
        <w:rPr>
          <w:rFonts w:ascii="Arial Unicode MS" w:eastAsia="Arial Unicode MS" w:hAnsi="Arial Unicode MS" w:cs="Arial Unicode MS"/>
          <w:b/>
          <w:color w:val="000000"/>
        </w:rPr>
        <w:t>*7] </w:t>
      </w:r>
      <w:r>
        <w:rPr>
          <w:rFonts w:ascii="Arial Unicode MS" w:eastAsia="Arial Unicode MS" w:hAnsi="Arial Unicode MS" w:cs="Arial Unicode MS"/>
          <w:color w:val="000000"/>
        </w:rPr>
        <w:t>that eight elements of the Warner Agreement's “Net Profits” definition were unconscionable: (1) the 10% advertising overhead charge</w:t>
      </w:r>
      <w:r w:rsidR="009D1799">
        <w:rPr>
          <w:rFonts w:ascii="Arial Unicode MS" w:eastAsia="Arial Unicode MS" w:hAnsi="Arial Unicode MS" w:cs="Arial Unicode MS"/>
          <w:color w:val="000000"/>
        </w:rPr>
        <w:t xml:space="preserve">. . . ; </w:t>
      </w:r>
      <w:r>
        <w:rPr>
          <w:rFonts w:ascii="Arial Unicode MS" w:eastAsia="Arial Unicode MS" w:hAnsi="Arial Unicode MS" w:cs="Arial Unicode MS"/>
          <w:color w:val="000000"/>
        </w:rPr>
        <w:t>(3) application of the 15% production overhead charge on participation payments to third parties; (4) application of the 15% production overhead charge on the $ 100,000 deferment</w:t>
      </w:r>
      <w:r w:rsidR="009D1799">
        <w:rPr>
          <w:rFonts w:ascii="Arial Unicode MS" w:eastAsia="Arial Unicode MS" w:hAnsi="Arial Unicode MS" w:cs="Arial Unicode MS"/>
          <w:color w:val="000000"/>
        </w:rPr>
        <w:t xml:space="preserve">. . . ; </w:t>
      </w:r>
      <w:r>
        <w:rPr>
          <w:rFonts w:ascii="Arial Unicode MS" w:eastAsia="Arial Unicode MS" w:hAnsi="Arial Unicode MS" w:cs="Arial Unicode MS"/>
          <w:color w:val="000000"/>
        </w:rPr>
        <w:t xml:space="preserve">and (8) the inclusion in “gross receipts” of only 20% of the revenue from videocassettes, less a distribution fee. </w:t>
      </w:r>
      <w:r w:rsidR="009D1799">
        <w:rPr>
          <w:rFonts w:ascii="Arial Unicode MS" w:eastAsia="Arial Unicode MS" w:hAnsi="Arial Unicode MS" w:cs="Arial Unicode MS"/>
          <w:color w:val="000000"/>
        </w:rPr>
        <w:t>. . .</w:t>
      </w:r>
    </w:p>
    <w:p w14:paraId="70076E4B" w14:textId="77777777" w:rsidR="00F36B17" w:rsidRDefault="00CF0768">
      <w:pPr>
        <w:spacing w:before="240" w:line="300" w:lineRule="atLeast"/>
        <w:jc w:val="both"/>
      </w:pPr>
      <w:bookmarkStart w:id="21" w:name="Bookmark_para_18"/>
      <w:bookmarkEnd w:id="21"/>
      <w:r>
        <w:rPr>
          <w:rFonts w:ascii="Arial Unicode MS" w:eastAsia="Arial Unicode MS" w:hAnsi="Arial Unicode MS" w:cs="Arial Unicode MS"/>
          <w:color w:val="000000"/>
        </w:rPr>
        <w:t xml:space="preserve">In considering Warner Bros.' motion for judgment under </w:t>
      </w:r>
      <w:hyperlink r:id="rId8" w:history="1">
        <w:r>
          <w:rPr>
            <w:rFonts w:ascii="Arial Unicode MS" w:eastAsia="Arial Unicode MS" w:hAnsi="Arial Unicode MS" w:cs="Arial Unicode MS"/>
            <w:i/>
            <w:color w:val="0077CC"/>
            <w:u w:val="single"/>
            <w:shd w:val="clear" w:color="auto" w:fill="FFFFFF"/>
          </w:rPr>
          <w:t>Code of Civil Procedure section 631.8</w:t>
        </w:r>
      </w:hyperlink>
      <w:r>
        <w:rPr>
          <w:rFonts w:ascii="Arial Unicode MS" w:eastAsia="Arial Unicode MS" w:hAnsi="Arial Unicode MS" w:cs="Arial Unicode MS"/>
          <w:color w:val="000000"/>
        </w:rPr>
        <w:t>, the Court had little difficulty in rejecting seven of plaintiffs' claims.</w:t>
      </w:r>
    </w:p>
    <w:p w14:paraId="681F340C" w14:textId="77777777" w:rsidR="00F36B17" w:rsidRDefault="00CF0768">
      <w:pPr>
        <w:spacing w:before="200" w:line="300" w:lineRule="atLeast"/>
        <w:jc w:val="both"/>
      </w:pPr>
      <w:bookmarkStart w:id="22" w:name="Bookmark_para_19"/>
      <w:bookmarkEnd w:id="22"/>
      <w:r>
        <w:rPr>
          <w:rFonts w:ascii="Arial Unicode MS" w:eastAsia="Arial Unicode MS" w:hAnsi="Arial Unicode MS" w:cs="Arial Unicode MS"/>
          <w:color w:val="000000"/>
        </w:rPr>
        <w:t xml:space="preserve">As to all of the items relating to overhead charges (Items One, Three, Four, and Seven), the Court granted </w:t>
      </w:r>
      <w:r>
        <w:rPr>
          <w:rFonts w:ascii="Arial Unicode MS" w:eastAsia="Arial Unicode MS" w:hAnsi="Arial Unicode MS" w:cs="Arial Unicode MS"/>
          <w:b/>
          <w:color w:val="000000"/>
        </w:rPr>
        <w:t> [*8] </w:t>
      </w:r>
      <w:r>
        <w:rPr>
          <w:rFonts w:ascii="Arial Unicode MS" w:eastAsia="Arial Unicode MS" w:hAnsi="Arial Unicode MS" w:cs="Arial Unicode MS"/>
          <w:color w:val="000000"/>
        </w:rPr>
        <w:t>Warner Bros.' motion for judgment because the plaintiffs failed to prove that historically Warner Bros.' indirect general administrative expenses for motion picture production and advertising -- “overhead” -- do not equal or exceed the amount charged under the “Net Profits” definition, namely, 15 percent of production costs and 10 percent of advertising expenditures. As a matter of fact, plaintiffs conceded that they could not show that the overhead charges under the “Net Profits” definition exceeded Warner Bros.' actual overhead costs, taken as a whole.</w:t>
      </w:r>
    </w:p>
    <w:p w14:paraId="101C937E" w14:textId="77777777" w:rsidR="00F36B17" w:rsidRDefault="00CF0768">
      <w:pPr>
        <w:spacing w:before="200" w:line="300" w:lineRule="atLeast"/>
        <w:jc w:val="both"/>
      </w:pPr>
      <w:bookmarkStart w:id="23" w:name="Bookmark_para_20"/>
      <w:bookmarkEnd w:id="23"/>
      <w:r>
        <w:rPr>
          <w:rFonts w:ascii="Arial Unicode MS" w:eastAsia="Arial Unicode MS" w:hAnsi="Arial Unicode MS" w:cs="Arial Unicode MS"/>
          <w:color w:val="000000"/>
        </w:rPr>
        <w:t xml:space="preserve">Plaintiffs argued that charging overhead on certain production costs, advertising expenses, gross participations, deferred payments, and payments paid to foreign studios was unconscionable because the administrative cost of providing those goods or services was less than the contractual 10 or 15 percent overhead surcharge. Plaintiffs did not prove that allegation. And, more important, the test is not whether Warner Bros.' overhead charge on a particular direct cost item exceeded the “actual” administrative or other indirect expenses associated with providing that one item or service to the production or advertising of a movie. As the </w:t>
      </w:r>
      <w:r>
        <w:rPr>
          <w:rFonts w:ascii="Arial Unicode MS" w:eastAsia="Arial Unicode MS" w:hAnsi="Arial Unicode MS" w:cs="Arial Unicode MS"/>
          <w:b/>
          <w:color w:val="000000"/>
        </w:rPr>
        <w:t> [*9] </w:t>
      </w:r>
      <w:r>
        <w:rPr>
          <w:rFonts w:ascii="Arial Unicode MS" w:eastAsia="Arial Unicode MS" w:hAnsi="Arial Unicode MS" w:cs="Arial Unicode MS"/>
          <w:color w:val="000000"/>
        </w:rPr>
        <w:t xml:space="preserve">accounting experts for both sides testified, overhead cannot be assessed with such </w:t>
      </w:r>
      <w:r>
        <w:rPr>
          <w:rFonts w:ascii="Arial Unicode MS" w:eastAsia="Arial Unicode MS" w:hAnsi="Arial Unicode MS" w:cs="Arial Unicode MS"/>
          <w:color w:val="000000"/>
        </w:rPr>
        <w:lastRenderedPageBreak/>
        <w:t>precision. Under the circumstances, the test must be whether the production and advertising overheads charged by using the percentage allocations are, in total, unconscionably higher than Warner Bros.' actual production and advertising overhead costs on a motion picture. Plaintiffs offered no evidence to support such a finding.</w:t>
      </w:r>
    </w:p>
    <w:p w14:paraId="3353082A" w14:textId="17339930" w:rsidR="00F36B17" w:rsidRDefault="00CF0768">
      <w:pPr>
        <w:spacing w:before="200" w:line="300" w:lineRule="atLeast"/>
        <w:jc w:val="both"/>
      </w:pPr>
      <w:bookmarkStart w:id="24" w:name="Bookmark_para_21"/>
      <w:bookmarkEnd w:id="24"/>
      <w:r>
        <w:rPr>
          <w:rFonts w:ascii="Arial Unicode MS" w:eastAsia="Arial Unicode MS" w:hAnsi="Arial Unicode MS" w:cs="Arial Unicode MS"/>
          <w:color w:val="000000"/>
        </w:rPr>
        <w:t>Plaintiffs also failed to show that the advertising costs, gross participations, deferred payments, and payments paid to foreign studios were not historically included in the pool of costs that were compared to Warner Bros.' general and administrative expenses to estimate its rate of overhead. In sum, plaintiffs simply failed to prove that any of the overhead charges are unconscionable</w:t>
      </w:r>
      <w:proofErr w:type="gramStart"/>
      <w:r>
        <w:rPr>
          <w:rFonts w:ascii="Arial Unicode MS" w:eastAsia="Arial Unicode MS" w:hAnsi="Arial Unicode MS" w:cs="Arial Unicode MS"/>
          <w:color w:val="000000"/>
        </w:rPr>
        <w:t>.</w:t>
      </w:r>
      <w:r w:rsidR="009D1799">
        <w:rPr>
          <w:rFonts w:ascii="Arial Unicode MS" w:eastAsia="Arial Unicode MS" w:hAnsi="Arial Unicode MS" w:cs="Arial Unicode MS"/>
          <w:color w:val="000000"/>
        </w:rPr>
        <w:t xml:space="preserve"> . . .</w:t>
      </w:r>
      <w:proofErr w:type="gramEnd"/>
    </w:p>
    <w:p w14:paraId="2103F918" w14:textId="57E6C91B" w:rsidR="00F36B17" w:rsidRDefault="00CF0768">
      <w:pPr>
        <w:spacing w:before="200" w:line="300" w:lineRule="atLeast"/>
        <w:jc w:val="both"/>
      </w:pPr>
      <w:bookmarkStart w:id="25" w:name="Bookmark_para_22"/>
      <w:bookmarkStart w:id="26" w:name="Bookmark_para_24"/>
      <w:bookmarkEnd w:id="25"/>
      <w:bookmarkEnd w:id="26"/>
      <w:r>
        <w:rPr>
          <w:rFonts w:ascii="Arial Unicode MS" w:eastAsia="Arial Unicode MS" w:hAnsi="Arial Unicode MS" w:cs="Arial Unicode MS"/>
          <w:color w:val="000000"/>
        </w:rPr>
        <w:t xml:space="preserve">The Court granted the motion for judgment as to Item Eight, videocassette distribution, on the ground that Mr. </w:t>
      </w:r>
      <w:proofErr w:type="spellStart"/>
      <w:r>
        <w:rPr>
          <w:rFonts w:ascii="Arial Unicode MS" w:eastAsia="Arial Unicode MS" w:hAnsi="Arial Unicode MS" w:cs="Arial Unicode MS"/>
          <w:color w:val="000000"/>
        </w:rPr>
        <w:t>Melniker</w:t>
      </w:r>
      <w:proofErr w:type="spellEnd"/>
      <w:r>
        <w:rPr>
          <w:rFonts w:ascii="Arial Unicode MS" w:eastAsia="Arial Unicode MS" w:hAnsi="Arial Unicode MS" w:cs="Arial Unicode MS"/>
          <w:color w:val="000000"/>
        </w:rPr>
        <w:t xml:space="preserve"> knew that a 20 percent royalty was </w:t>
      </w:r>
      <w:proofErr w:type="gramStart"/>
      <w:r>
        <w:rPr>
          <w:rFonts w:ascii="Arial Unicode MS" w:eastAsia="Arial Unicode MS" w:hAnsi="Arial Unicode MS" w:cs="Arial Unicode MS"/>
          <w:color w:val="000000"/>
        </w:rPr>
        <w:t xml:space="preserve">standard </w:t>
      </w:r>
      <w:r>
        <w:rPr>
          <w:rFonts w:ascii="Arial Unicode MS" w:eastAsia="Arial Unicode MS" w:hAnsi="Arial Unicode MS" w:cs="Arial Unicode MS"/>
          <w:b/>
          <w:color w:val="000000"/>
        </w:rPr>
        <w:t> [</w:t>
      </w:r>
      <w:proofErr w:type="gramEnd"/>
      <w:r>
        <w:rPr>
          <w:rFonts w:ascii="Arial Unicode MS" w:eastAsia="Arial Unicode MS" w:hAnsi="Arial Unicode MS" w:cs="Arial Unicode MS"/>
          <w:b/>
          <w:color w:val="000000"/>
        </w:rPr>
        <w:t>*11] </w:t>
      </w:r>
      <w:r>
        <w:rPr>
          <w:rFonts w:ascii="Arial Unicode MS" w:eastAsia="Arial Unicode MS" w:hAnsi="Arial Unicode MS" w:cs="Arial Unicode MS"/>
          <w:color w:val="000000"/>
        </w:rPr>
        <w:t>in the industry. He never questioned it. He never asked that it be changed. The plaintiffs did not prove that the 20 percent royalty unconscionably exceeded the actual revenues, less expenses, from videocassette distribution. They also offered no evidence that a “distribution fee” on the distribution of videocassettes was unconscionable. Nor did they prove that they could have negotiated a better deal elsewhere at the time this deal was made, in which a higher percentage of video revenue, without deduction of a distribution fee, would be credited to the picture in calculating “Net Profits.”</w:t>
      </w:r>
      <w:r w:rsidR="009D1799">
        <w:rPr>
          <w:rFonts w:ascii="Arial Unicode MS" w:eastAsia="Arial Unicode MS" w:hAnsi="Arial Unicode MS" w:cs="Arial Unicode MS"/>
          <w:color w:val="000000"/>
        </w:rPr>
        <w:t xml:space="preserve"> . . . .</w:t>
      </w:r>
    </w:p>
    <w:p w14:paraId="71438745" w14:textId="312C9505" w:rsidR="00F36B17" w:rsidRDefault="00CF0768">
      <w:pPr>
        <w:spacing w:before="200" w:line="300" w:lineRule="atLeast"/>
        <w:jc w:val="both"/>
      </w:pPr>
      <w:bookmarkStart w:id="27" w:name="Bookmark_para_25"/>
      <w:bookmarkStart w:id="28" w:name="Bookmark_para_34"/>
      <w:bookmarkEnd w:id="27"/>
      <w:bookmarkEnd w:id="28"/>
      <w:r>
        <w:rPr>
          <w:rFonts w:ascii="Arial Unicode MS" w:eastAsia="Arial Unicode MS" w:hAnsi="Arial Unicode MS" w:cs="Arial Unicode MS"/>
          <w:color w:val="000000"/>
        </w:rPr>
        <w:t xml:space="preserve">Given the Court's decision in favor of </w:t>
      </w:r>
      <w:proofErr w:type="gramStart"/>
      <w:r>
        <w:rPr>
          <w:rFonts w:ascii="Arial Unicode MS" w:eastAsia="Arial Unicode MS" w:hAnsi="Arial Unicode MS" w:cs="Arial Unicode MS"/>
          <w:color w:val="000000"/>
        </w:rPr>
        <w:t xml:space="preserve">Warner </w:t>
      </w:r>
      <w:r>
        <w:rPr>
          <w:rFonts w:ascii="Arial Unicode MS" w:eastAsia="Arial Unicode MS" w:hAnsi="Arial Unicode MS" w:cs="Arial Unicode MS"/>
          <w:b/>
          <w:color w:val="000000"/>
        </w:rPr>
        <w:t> [</w:t>
      </w:r>
      <w:proofErr w:type="gramEnd"/>
      <w:r>
        <w:rPr>
          <w:rFonts w:ascii="Arial Unicode MS" w:eastAsia="Arial Unicode MS" w:hAnsi="Arial Unicode MS" w:cs="Arial Unicode MS"/>
          <w:b/>
          <w:color w:val="000000"/>
        </w:rPr>
        <w:t>*15] </w:t>
      </w:r>
      <w:r>
        <w:rPr>
          <w:rFonts w:ascii="Arial Unicode MS" w:eastAsia="Arial Unicode MS" w:hAnsi="Arial Unicode MS" w:cs="Arial Unicode MS"/>
          <w:color w:val="000000"/>
        </w:rPr>
        <w:t>Bros. on plaintiffs' unconscionability claim, Warner Bros. is entitled to prevail on plaintiffs' Thirteenth Cause of Action for “unfair competition” because that claim was dependent on a finding that their “Net Profits” contract was unconscionable.</w:t>
      </w:r>
      <w:r w:rsidR="009D1799">
        <w:rPr>
          <w:rFonts w:ascii="Arial Unicode MS" w:eastAsia="Arial Unicode MS" w:hAnsi="Arial Unicode MS" w:cs="Arial Unicode MS"/>
          <w:color w:val="000000"/>
        </w:rPr>
        <w:t xml:space="preserve"> . . .</w:t>
      </w:r>
    </w:p>
    <w:p w14:paraId="69D2D254" w14:textId="77777777" w:rsidR="00F36B17" w:rsidRDefault="00F36B17">
      <w:bookmarkStart w:id="29" w:name="Bookmark_para_35"/>
      <w:bookmarkEnd w:id="29"/>
    </w:p>
    <w:p w14:paraId="57DBE30A" w14:textId="77777777" w:rsidR="00F36B17" w:rsidRDefault="00CF0768">
      <w:pPr>
        <w:ind w:left="200"/>
      </w:pPr>
      <w:r>
        <w:br/>
      </w:r>
      <w:r w:rsidR="00C75F6B">
        <w:pict w14:anchorId="66643972">
          <v:line id="_x0000_s2050" alt="" style="position:absolute;left:0;text-align:left;z-index:251659264;mso-wrap-edited:f;mso-width-percent:0;mso-height-percent:0;mso-position-horizontal-relative:text;mso-position-vertical-relative:text;mso-width-percent:0;mso-height-percent:0" from="0,10pt" to="512pt,10pt" strokeweight="1pt"/>
        </w:pict>
      </w:r>
      <w:r>
        <w:rPr>
          <w:rFonts w:ascii="Arial Unicode MS" w:eastAsia="Arial Unicode MS" w:hAnsi="Arial Unicode MS" w:cs="Arial Unicode MS"/>
          <w:b/>
          <w:color w:val="767676"/>
          <w:sz w:val="16"/>
        </w:rPr>
        <w:t>End of Document</w:t>
      </w:r>
    </w:p>
    <w:sectPr w:rsidR="00F36B17">
      <w:headerReference w:type="even" r:id="rId9"/>
      <w:headerReference w:type="default" r:id="rId10"/>
      <w:footerReference w:type="even" r:id="rId11"/>
      <w:footerReference w:type="default" r:id="rId12"/>
      <w:headerReference w:type="first" r:id="rId13"/>
      <w:footerReference w:type="first" r:id="rId14"/>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5425D" w14:textId="77777777" w:rsidR="00C75F6B" w:rsidRDefault="00C75F6B">
      <w:r>
        <w:separator/>
      </w:r>
    </w:p>
  </w:endnote>
  <w:endnote w:type="continuationSeparator" w:id="0">
    <w:p w14:paraId="0EA13C09" w14:textId="77777777" w:rsidR="00C75F6B" w:rsidRDefault="00C75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7EFF" w:usb1="C000785B" w:usb2="00000009" w:usb3="00000000" w:csb0="000001FF" w:csb1="00000000"/>
  </w:font>
  <w:font w:name="Arial">
    <w:panose1 w:val="020B0604020202020204"/>
    <w:charset w:val="CC"/>
    <w:family w:val="swiss"/>
    <w:pitch w:val="variable"/>
    <w:sig w:usb0="E0007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C44AD" w14:textId="77777777" w:rsidR="00F36B17" w:rsidRDefault="00F36B1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F36B17" w14:paraId="4BAEADA0" w14:textId="77777777">
      <w:trPr>
        <w:jc w:val="center"/>
      </w:trPr>
      <w:tc>
        <w:tcPr>
          <w:tcW w:w="2600" w:type="dxa"/>
          <w:tcMar>
            <w:top w:w="200" w:type="dxa"/>
          </w:tcMar>
          <w:vAlign w:val="center"/>
        </w:tcPr>
        <w:p w14:paraId="7F6FDBA9" w14:textId="77777777" w:rsidR="00F36B17" w:rsidRDefault="00F36B17"/>
      </w:tc>
      <w:tc>
        <w:tcPr>
          <w:tcW w:w="4880" w:type="dxa"/>
          <w:tcMar>
            <w:top w:w="200" w:type="dxa"/>
          </w:tcMar>
          <w:vAlign w:val="center"/>
        </w:tcPr>
        <w:p w14:paraId="014AE167" w14:textId="77777777" w:rsidR="00F36B17" w:rsidRDefault="00CF0768">
          <w:pPr>
            <w:jc w:val="center"/>
          </w:pPr>
          <w:r>
            <w:rPr>
              <w:rFonts w:ascii="Arial" w:eastAsia="Arial" w:hAnsi="Arial" w:cs="Arial"/>
              <w:sz w:val="20"/>
            </w:rPr>
            <w:t xml:space="preserve">David </w:t>
          </w:r>
          <w:proofErr w:type="spellStart"/>
          <w:r>
            <w:rPr>
              <w:rFonts w:ascii="Arial" w:eastAsia="Arial" w:hAnsi="Arial" w:cs="Arial"/>
              <w:sz w:val="20"/>
            </w:rPr>
            <w:t>Schizer</w:t>
          </w:r>
          <w:proofErr w:type="spellEnd"/>
        </w:p>
      </w:tc>
      <w:tc>
        <w:tcPr>
          <w:tcW w:w="2600" w:type="dxa"/>
          <w:tcMar>
            <w:top w:w="200" w:type="dxa"/>
          </w:tcMar>
          <w:vAlign w:val="center"/>
        </w:tcPr>
        <w:p w14:paraId="30B5DB66" w14:textId="77777777" w:rsidR="00F36B17" w:rsidRDefault="00F36B17"/>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C05B1" w14:textId="77777777" w:rsidR="00F36B17" w:rsidRDefault="00CF0768">
    <w:pPr>
      <w:spacing w:before="200"/>
      <w:jc w:val="center"/>
    </w:pPr>
    <w:r>
      <w:rPr>
        <w:rFonts w:ascii="Arial" w:eastAsia="Arial" w:hAnsi="Arial" w:cs="Arial"/>
        <w:sz w:val="20"/>
      </w:rPr>
      <w:t xml:space="preserve">David </w:t>
    </w:r>
    <w:proofErr w:type="spellStart"/>
    <w:r>
      <w:rPr>
        <w:rFonts w:ascii="Arial" w:eastAsia="Arial" w:hAnsi="Arial" w:cs="Arial"/>
        <w:sz w:val="20"/>
      </w:rPr>
      <w:t>Schizer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5A7F5" w14:textId="77777777" w:rsidR="00C75F6B" w:rsidRDefault="00C75F6B">
      <w:r>
        <w:separator/>
      </w:r>
    </w:p>
  </w:footnote>
  <w:footnote w:type="continuationSeparator" w:id="0">
    <w:p w14:paraId="35CA61FD" w14:textId="77777777" w:rsidR="00C75F6B" w:rsidRDefault="00C75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06CFB" w14:textId="77777777" w:rsidR="00F36B17" w:rsidRDefault="00F36B1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F36B17" w14:paraId="4D07AD31" w14:textId="77777777">
      <w:trPr>
        <w:jc w:val="center"/>
      </w:trPr>
      <w:tc>
        <w:tcPr>
          <w:tcW w:w="10080" w:type="dxa"/>
          <w:vAlign w:val="center"/>
        </w:tcPr>
        <w:p w14:paraId="3C84C85F" w14:textId="77777777" w:rsidR="00F36B17" w:rsidRDefault="00CF0768">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sidR="0083611C">
            <w:rPr>
              <w:rFonts w:ascii="Arial Unicode MS" w:eastAsia="Arial Unicode MS" w:hAnsi="Arial Unicode MS" w:cs="Arial Unicode MS"/>
              <w:noProof/>
              <w:sz w:val="20"/>
            </w:rPr>
            <w:t>3</w:t>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sidR="0083611C">
            <w:rPr>
              <w:rFonts w:ascii="Arial Unicode MS" w:eastAsia="Arial Unicode MS" w:hAnsi="Arial Unicode MS" w:cs="Arial Unicode MS"/>
              <w:noProof/>
              <w:sz w:val="20"/>
            </w:rPr>
            <w:t>4</w:t>
          </w:r>
          <w:r>
            <w:rPr>
              <w:rFonts w:ascii="Arial Unicode MS" w:eastAsia="Arial Unicode MS" w:hAnsi="Arial Unicode MS" w:cs="Arial Unicode MS"/>
              <w:sz w:val="20"/>
            </w:rPr>
            <w:fldChar w:fldCharType="end"/>
          </w:r>
        </w:p>
      </w:tc>
    </w:tr>
    <w:tr w:rsidR="00F36B17" w14:paraId="2A9ABA94" w14:textId="77777777">
      <w:trPr>
        <w:jc w:val="center"/>
      </w:trPr>
      <w:tc>
        <w:tcPr>
          <w:tcW w:w="10080" w:type="dxa"/>
        </w:tcPr>
        <w:p w14:paraId="3A8C11FC" w14:textId="77777777" w:rsidR="00F36B17" w:rsidRDefault="00CF0768">
          <w:pPr>
            <w:spacing w:before="60" w:after="200"/>
            <w:jc w:val="center"/>
          </w:pPr>
          <w:proofErr w:type="spellStart"/>
          <w:r>
            <w:rPr>
              <w:rFonts w:ascii="Arial Unicode MS" w:eastAsia="Arial Unicode MS" w:hAnsi="Arial Unicode MS" w:cs="Arial Unicode MS"/>
              <w:sz w:val="20"/>
            </w:rPr>
            <w:t>Batfilm</w:t>
          </w:r>
          <w:proofErr w:type="spellEnd"/>
          <w:r>
            <w:rPr>
              <w:rFonts w:ascii="Arial Unicode MS" w:eastAsia="Arial Unicode MS" w:hAnsi="Arial Unicode MS" w:cs="Arial Unicode MS"/>
              <w:sz w:val="20"/>
            </w:rPr>
            <w:t xml:space="preserve"> Prods. v. Warner Bros.</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AF317" w14:textId="77777777" w:rsidR="00F36B17" w:rsidRDefault="00F36B1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2"/>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45599"/>
    <w:rsid w:val="0083611C"/>
    <w:rsid w:val="009D1799"/>
    <w:rsid w:val="00A77B3E"/>
    <w:rsid w:val="00C75F6B"/>
    <w:rsid w:val="00CA2A55"/>
    <w:rsid w:val="00CF0768"/>
    <w:rsid w:val="00F36B17"/>
    <w:rsid w:val="00FB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D6FC72E"/>
  <w15:docId w15:val="{8FF6F893-DDC4-7144-8509-786F7DEDE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lus.lexis.com/api/document?collection=statutes-legislation&amp;id=urn:contentItem:5J6R-DJB1-66B9-8163-00000-00&amp;context=1530671"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plus.lexis.com/api/document?collection=statutes-legislation&amp;id=urn:contentItem:5J6R-DPH1-66B9-84HK-00000-00&amp;context=1530671"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lus.lexis.com/api/document?collection=statutes-legislation&amp;id=urn:contentItem:5J6R-DPH1-66B9-84HK-00000-00&amp;context=1530671"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1688</Words>
  <Characters>9627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Batfilm Prods. v. Warner Bros.</vt:lpstr>
    </vt:vector>
  </TitlesOfParts>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Batfilm Prods. v. Warner Bros.</dc:title>
  <cp:lastModifiedBy>Microsoft Office User</cp:lastModifiedBy>
  <cp:revision>2</cp:revision>
  <dcterms:created xsi:type="dcterms:W3CDTF">2022-02-09T14:03:00Z</dcterms:created>
  <dcterms:modified xsi:type="dcterms:W3CDTF">2022-02-09T14:03:00Z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163594072</vt:lpwstr>
  </property>
  <property fmtid="{D5CDD505-2E9C-101B-9397-08002B2CF9AE}" pid="3" name="LADocCount">
    <vt:i4>2</vt:i4>
  </property>
  <property fmtid="{D5CDD505-2E9C-101B-9397-08002B2CF9AE}" pid="4" name="UserPermID">
    <vt:lpwstr>urn:user:PA187292688</vt:lpwstr>
  </property>
</Properties>
</file>