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40a96879aec0e131b5c558744248d88fed160e5"/>
    <w:p>
      <w:pPr>
        <w:pStyle w:val="Heading1"/>
      </w:pPr>
      <w:r>
        <w:t xml:space="preserve">ISSUE TWO: EchoCraft’s Song Constitutes Fair Use as a Matter of Law</w:t>
      </w:r>
    </w:p>
    <w:bookmarkStart w:id="20" w:name="a.-governing-rule"/>
    <w:p>
      <w:pPr>
        <w:pStyle w:val="Heading2"/>
      </w:pPr>
      <w:r>
        <w:t xml:space="preserve">A. Governing Rule</w:t>
      </w:r>
    </w:p>
    <w:p>
      <w:pPr>
        <w:pStyle w:val="FirstParagraph"/>
      </w:pPr>
      <w:r>
        <w:t xml:space="preserve">Fair use is an affirmative defense that permits certain unauthorized uses of copyrighted works to avoid rigid application of copyright law that would stifle creativity. The inquiry requires case-by-case analysis of four statutory factors: (1) the purpose and character of the use, including whether it is commercial or nonprofit educational; (2) the nature of the copyrighted work; (3) the amount and substantiality of the portion used in relation to the whole; and (4) the effect of the use on the potential market for or value of the copyrighted work. Courts must explore all four factors together and weigh them holistically in light of copyright’s purposes, with no single factor being dispositive.</w:t>
      </w:r>
    </w:p>
    <w:p>
      <w:pPr>
        <w:pStyle w:val="BodyText"/>
      </w:pPr>
      <w:r>
        <w:rPr>
          <w:i/>
          <w:iCs/>
        </w:rPr>
        <w:t xml:space="preserve">Campbell v. Acuff-Rose Music, Inc.</w:t>
      </w:r>
      <w:r>
        <w:t xml:space="preserve">, 510 U.S. 569, 577-78 (1994); 17 U.S.C. § 107.</w:t>
      </w:r>
    </w:p>
    <w:p>
      <w:pPr>
        <w:pStyle w:val="BodyText"/>
      </w:pPr>
      <w:r>
        <w:t xml:space="preserve">Fair use may be resolved on summary judgment when the material facts are undisputed and the question is whether those facts establish fair use as a matter of law. The inquiry focuses on objective characteristics that a reasonable observer would perceive, not the subjective intent of either party, making it particularly suitable for summary judgment where the works themselves demonstrate the transformative nature of the use.</w:t>
      </w:r>
    </w:p>
    <w:p>
      <w:pPr>
        <w:pStyle w:val="BodyText"/>
      </w:pPr>
      <w:r>
        <w:rPr>
          <w:i/>
          <w:iCs/>
        </w:rPr>
        <w:t xml:space="preserve">Santos v. Kimmel</w:t>
      </w:r>
      <w:r>
        <w:t xml:space="preserve">, 154 F.4th 30, 34 (2d Cir. 2025);</w:t>
      </w:r>
      <w:r>
        <w:t xml:space="preserve"> </w:t>
      </w:r>
      <w:r>
        <w:rPr>
          <w:i/>
          <w:iCs/>
        </w:rPr>
        <w:t xml:space="preserve">Andy Warhol Found. for Visual Arts, Inc. v. Goldsmith</w:t>
      </w:r>
      <w:r>
        <w:t xml:space="preserve">, 598 U.S. 508, 544 (2023).</w:t>
      </w:r>
    </w:p>
    <w:bookmarkEnd w:id="20"/>
    <w:bookmarkStart w:id="22" w:name="X6eaeb60fad924df34eda6c9c23edbaafde734eb"/>
    <w:p>
      <w:pPr>
        <w:pStyle w:val="Heading2"/>
      </w:pPr>
      <w:r>
        <w:t xml:space="preserve">B. Factor One Strongly Favors EchoCraft: The Song Is Transformative Parody Serving a Distinct Educational Purpose</w:t>
      </w:r>
    </w:p>
    <w:p>
      <w:pPr>
        <w:pStyle w:val="FirstParagraph"/>
      </w:pPr>
      <w:r>
        <w:t xml:space="preserve">The central question under Factor One is whether the new work adds something new with a further purpose or different character, or merely supersedes the original. The more transformative the new work, the less significance other factors, like commercialism, carry against a finding of fair use. Courts must examine the purpose and character of the specific challenged use in the marketplace, focusing on what use was made of the original work through objective inquiry into what a reasonable observer would perceive.</w:t>
      </w:r>
    </w:p>
    <w:p>
      <w:pPr>
        <w:pStyle w:val="BodyText"/>
      </w:pPr>
      <w:r>
        <w:rPr>
          <w:i/>
          <w:iCs/>
        </w:rPr>
        <w:t xml:space="preserve">Campbell</w:t>
      </w:r>
      <w:r>
        <w:t xml:space="preserve">, 510 U.S. at 579;</w:t>
      </w:r>
      <w:r>
        <w:t xml:space="preserve"> </w:t>
      </w:r>
      <w:r>
        <w:rPr>
          <w:i/>
          <w:iCs/>
        </w:rPr>
        <w:t xml:space="preserve">Andy Warhol</w:t>
      </w:r>
      <w:r>
        <w:t xml:space="preserve">, 598 U.S. at 526, 545.</w:t>
      </w:r>
    </w:p>
    <w:p>
      <w:pPr>
        <w:pStyle w:val="BodyText"/>
      </w:pPr>
      <w:r>
        <w:t xml:space="preserve">Parody—commentary on the original work itself—has a stronger fair use claim than satire because parody requires conjuring up the original to make its critical point. For the purposes of copyright law, the heart of any parody claim is the use of elements from a prior composition to create a new one that, at least in part, comments on that prior work. Critically, parody may qualify as fair use only if it draws upon the original composition to make humorous or ironic commentary about that same composition. The parody must target the original, and not just its general style, genre, or society as a whole. The secondary work’s commentary must have critical bearing on the original work itself; otherwise, the claim to fairness in borrowing from the original diminishes or vanishes.</w:t>
      </w:r>
    </w:p>
    <w:p>
      <w:pPr>
        <w:pStyle w:val="BodyText"/>
      </w:pPr>
      <w:r>
        <w:rPr>
          <w:i/>
          <w:iCs/>
        </w:rPr>
        <w:t xml:space="preserve">Campbell</w:t>
      </w:r>
      <w:r>
        <w:t xml:space="preserve">, 510 U.S. at 580-81;</w:t>
      </w:r>
      <w:r>
        <w:t xml:space="preserve"> </w:t>
      </w:r>
      <w:r>
        <w:rPr>
          <w:i/>
          <w:iCs/>
        </w:rPr>
        <w:t xml:space="preserve">id.</w:t>
      </w:r>
      <w:r>
        <w:t xml:space="preserve"> </w:t>
      </w:r>
      <w:r>
        <w:t xml:space="preserve">at 597 (Kennedy, J., concurring);</w:t>
      </w:r>
      <w:r>
        <w:t xml:space="preserve"> </w:t>
      </w:r>
      <w:r>
        <w:rPr>
          <w:i/>
          <w:iCs/>
        </w:rPr>
        <w:t xml:space="preserve">Andy Warhol</w:t>
      </w:r>
      <w:r>
        <w:t xml:space="preserve">, 598 U.S. at 546-47 (quoting</w:t>
      </w:r>
      <w:r>
        <w:t xml:space="preserve"> </w:t>
      </w:r>
      <w:r>
        <w:rPr>
          <w:i/>
          <w:iCs/>
        </w:rPr>
        <w:t xml:space="preserve">Campbell</w:t>
      </w:r>
      <w:r>
        <w:t xml:space="preserve">).</w:t>
      </w:r>
    </w:p>
    <w:p>
      <w:pPr>
        <w:pStyle w:val="BodyText"/>
      </w:pPr>
      <w:r>
        <w:t xml:space="preserve">Additionally, the nonprofit educational purpose of a work weighs in favor of fair use, especially when combined with transformative use. While commercial nature tends against fair use, it is not dispositive, and the statutory language explicitly distinguishes commercial from nonprofit educational uses, suggesting the latter deserves special consideration.</w:t>
      </w:r>
    </w:p>
    <w:p>
      <w:pPr>
        <w:pStyle w:val="BodyText"/>
      </w:pPr>
      <w:r>
        <w:rPr>
          <w:i/>
          <w:iCs/>
        </w:rPr>
        <w:t xml:space="preserve">Campbell</w:t>
      </w:r>
      <w:r>
        <w:t xml:space="preserve">, 510 U.S. at 584.</w:t>
      </w:r>
    </w:p>
    <w:bookmarkStart w:id="21" w:name="application"/>
    <w:p>
      <w:pPr>
        <w:pStyle w:val="Heading3"/>
      </w:pPr>
      <w:r>
        <w:t xml:space="preserve">Application:</w:t>
      </w:r>
    </w:p>
    <w:p>
      <w:pPr>
        <w:pStyle w:val="FirstParagraph"/>
      </w:pPr>
      <w:r>
        <w:t xml:space="preserve">EchoCraft’s song constitutes parody with critical bearing on Riven’s original work. Riven’s song presents an adulatory, hero-worship perspective on Paul Revere, celebrating him uncritically as a flawless patriotic hero. EchoCraft’s version targets and mocks that adulatory perspective by correcting specific historical inaccuracies embedded in Riven’s narrative. The question mark added to the title itself signals ironic interrogation of the original’s celebratory claims. EchoCraft uses Riven’s melody to</w:t>
      </w:r>
      <w:r>
        <w:t xml:space="preserve"> </w:t>
      </w:r>
      <w:r>
        <w:t xml:space="preserve">“</w:t>
      </w:r>
      <w:r>
        <w:t xml:space="preserve">conjure up</w:t>
      </w:r>
      <w:r>
        <w:t xml:space="preserve">”</w:t>
      </w:r>
      <w:r>
        <w:t xml:space="preserve"> </w:t>
      </w:r>
      <w:r>
        <w:t xml:space="preserve">his version in listeners’ minds, then systematically undermines its celebratory narrative with corrected historical facts. The critical bearing is direct: commentary on the original work’s uncritical, mythologizing approach to historical education.</w:t>
      </w:r>
    </w:p>
    <w:p>
      <w:pPr>
        <w:pStyle w:val="BodyText"/>
      </w:pPr>
      <w:r>
        <w:t xml:space="preserve">A reasonable observer would perceive the two works as having distinct purposes. Riven’s version employs a celebratory, mythic narrative designed for entertainment; EchoCraft’s version employs ironic critique and factual correction designed to expose the inadequacies of the original’s historical treatment. The works are functionally different: one perpetuates uncritical hero-worship, while the other provides corrective commentary on that very approach.</w:t>
      </w:r>
    </w:p>
    <w:p>
      <w:pPr>
        <w:pStyle w:val="BodyText"/>
      </w:pPr>
      <w:r>
        <w:t xml:space="preserve">Moreover, EchoCraft operates as a nonprofit educational entity, licenses the work below cost, and distributes it exclusively for educational purposes. This nonprofit educational purpose combines with the transformative critical nature of the work to strongly favor fair use under Factor One.</w:t>
      </w:r>
    </w:p>
    <w:bookmarkEnd w:id="21"/>
    <w:bookmarkEnd w:id="22"/>
    <w:bookmarkStart w:id="24" w:name="Xc5c38fd4ec06030620e10e7cd8409c1d7075992"/>
    <w:p>
      <w:pPr>
        <w:pStyle w:val="Heading2"/>
      </w:pPr>
      <w:r>
        <w:t xml:space="preserve">C. Factor Two Is Neutral or Favors EchoCraft: The Original Work Is Educational and Factual</w:t>
      </w:r>
    </w:p>
    <w:p>
      <w:pPr>
        <w:pStyle w:val="FirstParagraph"/>
      </w:pPr>
      <w:r>
        <w:t xml:space="preserve">The nature of the copyrighted work considers whether it is creative or factual, published or unpublished. While creative works generally receive greater protection than factual compilations, this factor typically has limited weight in the fair use analysis and adds little when the copying work is clearly transformative parody. Educational works that present historical facts, though creatively expressed, occupy a middle ground that offers less robust protection than purely imaginative works.</w:t>
      </w:r>
    </w:p>
    <w:p>
      <w:pPr>
        <w:pStyle w:val="BodyText"/>
      </w:pPr>
      <w:r>
        <w:rPr>
          <w:i/>
          <w:iCs/>
        </w:rPr>
        <w:t xml:space="preserve">Campbell</w:t>
      </w:r>
      <w:r>
        <w:t xml:space="preserve">, 510 U.S. at 586;</w:t>
      </w:r>
      <w:r>
        <w:t xml:space="preserve"> </w:t>
      </w:r>
      <w:r>
        <w:rPr>
          <w:i/>
          <w:iCs/>
        </w:rPr>
        <w:t xml:space="preserve">Feist Publications, Inc. v. Rural Tel. Serv. Co.</w:t>
      </w:r>
      <w:r>
        <w:t xml:space="preserve">, 499 U.S. 340, 348-49 (1991).</w:t>
      </w:r>
    </w:p>
    <w:bookmarkStart w:id="23" w:name="application-1"/>
    <w:p>
      <w:pPr>
        <w:pStyle w:val="Heading3"/>
      </w:pPr>
      <w:r>
        <w:t xml:space="preserve">Application:</w:t>
      </w:r>
    </w:p>
    <w:p>
      <w:pPr>
        <w:pStyle w:val="FirstParagraph"/>
      </w:pPr>
      <w:r>
        <w:t xml:space="preserve">Riven’s song, though creatively expressed through melody and lyrics, is fundamentally an educational work designed to teach historical facts about Paul Revere. While it contains creative elements, its core purpose is factual dissemination, which diminishes the strength of copyright protection relative to purely imaginative works. Additionally, parody almost invariably copies publicly known, expressive works, and Factor Two adds little to the analysis when Factor One demonstrates clear transformative purpose. At most, this factor is neutral; more likely, it slightly favors EchoCraft given the educational and factual nature of Riven’s underlying work.</w:t>
      </w:r>
    </w:p>
    <w:bookmarkEnd w:id="23"/>
    <w:bookmarkEnd w:id="24"/>
    <w:bookmarkStart w:id="26" w:name="X5e67ebbe99e9c8cb256dea2c2e563ec96101919"/>
    <w:p>
      <w:pPr>
        <w:pStyle w:val="Heading2"/>
      </w:pPr>
      <w:r>
        <w:t xml:space="preserve">D. Factor Three Favors EchoCraft: Copying the Melody Was Necessary to Conjure Up the Original, and EchoCraft Departed Markedly in Lyrics</w:t>
      </w:r>
    </w:p>
    <w:p>
      <w:pPr>
        <w:pStyle w:val="FirstParagraph"/>
      </w:pPr>
      <w:r>
        <w:t xml:space="preserve">Parody may copy the</w:t>
      </w:r>
      <w:r>
        <w:t xml:space="preserve"> </w:t>
      </w:r>
      <w:r>
        <w:t xml:space="preserve">“</w:t>
      </w:r>
      <w:r>
        <w:t xml:space="preserve">heart</w:t>
      </w:r>
      <w:r>
        <w:t xml:space="preserve">”</w:t>
      </w:r>
      <w:r>
        <w:t xml:space="preserve"> </w:t>
      </w:r>
      <w:r>
        <w:t xml:space="preserve">of the original if necessary to</w:t>
      </w:r>
      <w:r>
        <w:t xml:space="preserve"> </w:t>
      </w:r>
      <w:r>
        <w:t xml:space="preserve">“</w:t>
      </w:r>
      <w:r>
        <w:t xml:space="preserve">conjure up</w:t>
      </w:r>
      <w:r>
        <w:t xml:space="preserve">”</w:t>
      </w:r>
      <w:r>
        <w:t xml:space="preserve"> </w:t>
      </w:r>
      <w:r>
        <w:t xml:space="preserve">the original for purposes of making recognizable criticism. When parody takes aim at a particular original work, it must be able to evoke at least enough of that original to make the object of its critical wit recognizable. Copying does not become excessive in relation to parodic purpose merely because the portion taken was the original’s heart—the heart is what most readily conjures up the work for parody and is the heart at which parody takes aim. However, the parodist must depart markedly from the original after establishing the connection.</w:t>
      </w:r>
    </w:p>
    <w:p>
      <w:pPr>
        <w:pStyle w:val="BodyText"/>
      </w:pPr>
      <w:r>
        <w:rPr>
          <w:i/>
          <w:iCs/>
        </w:rPr>
        <w:t xml:space="preserve">Campbell</w:t>
      </w:r>
      <w:r>
        <w:t xml:space="preserve">, 510 U.S. at 588-89.</w:t>
      </w:r>
    </w:p>
    <w:bookmarkStart w:id="25" w:name="application-2"/>
    <w:p>
      <w:pPr>
        <w:pStyle w:val="Heading3"/>
      </w:pPr>
      <w:r>
        <w:t xml:space="preserve">Application:</w:t>
      </w:r>
    </w:p>
    <w:p>
      <w:pPr>
        <w:pStyle w:val="FirstParagraph"/>
      </w:pPr>
      <w:r>
        <w:t xml:space="preserve">EchoCraft copied 87.5% of Riven’s melody but changed 100% of the lyrics. This copying is defensible under Factor Three because the melody is the</w:t>
      </w:r>
      <w:r>
        <w:t xml:space="preserve"> </w:t>
      </w:r>
      <w:r>
        <w:t xml:space="preserve">“</w:t>
      </w:r>
      <w:r>
        <w:t xml:space="preserve">heart</w:t>
      </w:r>
      <w:r>
        <w:t xml:space="preserve">”</w:t>
      </w:r>
      <w:r>
        <w:t xml:space="preserve"> </w:t>
      </w:r>
      <w:r>
        <w:t xml:space="preserve">that makes Riven’s song memorable and pedagogically effective. For educational songs, the melody serves as the mnemonic device that facilitates memorization; children learn historical facts by associating them with familiar tunes. To criticize Riven’s specific pedagogical approach and historical treatment, EchoCraft needed to conjure up his version by using the same melodic structure that audiences would recognize.</w:t>
      </w:r>
    </w:p>
    <w:p>
      <w:pPr>
        <w:pStyle w:val="BodyText"/>
      </w:pPr>
      <w:r>
        <w:t xml:space="preserve">Critically, EchoCraft departed markedly in the lyrics, completely rewriting the narrative to present corrected historical facts that undermine Riven’s adulatory perspective. The 100% lyrical departure demonstrates that EchoCraft took only what was necessary to establish the parodic connection, then pursued its own critical and educational ends. The high percentage of melodic copying is justified by the unique functional requirements of educational music parody, where the melody itself is integral to the pedagogical method being criticized.</w:t>
      </w:r>
    </w:p>
    <w:bookmarkEnd w:id="25"/>
    <w:bookmarkEnd w:id="26"/>
    <w:bookmarkStart w:id="28" w:name="X24a975895779d1539852df501fec6014c130287"/>
    <w:p>
      <w:pPr>
        <w:pStyle w:val="Heading2"/>
      </w:pPr>
      <w:r>
        <w:t xml:space="preserve">E. Factor Four Strongly Favors EchoCraft: No Derivative Market Exists for Criticism, and Any Harm Is from Critical Suppression, Not Substitution</w:t>
      </w:r>
    </w:p>
    <w:p>
      <w:pPr>
        <w:pStyle w:val="FirstParagraph"/>
      </w:pPr>
      <w:r>
        <w:t xml:space="preserve">Factor Four asks whether the secondary use usurps the market for the original by serving as a substitute, not whether it damages the market through effective criticism or parody. When parody suppresses demand for the original through effective criticism—like a scathing theater review that kills demand—it does not produce harm cognizable under the Copyright Act. Courts must distinguish between biting criticism that merely suppresses demand and copyright infringement that usurps it by offering a competing substitute.</w:t>
      </w:r>
    </w:p>
    <w:p>
      <w:pPr>
        <w:pStyle w:val="BodyText"/>
      </w:pPr>
      <w:r>
        <w:rPr>
          <w:i/>
          <w:iCs/>
        </w:rPr>
        <w:t xml:space="preserve">Santos</w:t>
      </w:r>
      <w:r>
        <w:t xml:space="preserve">, 154 F.4th at 35 (quoting</w:t>
      </w:r>
      <w:r>
        <w:t xml:space="preserve"> </w:t>
      </w:r>
      <w:r>
        <w:rPr>
          <w:i/>
          <w:iCs/>
        </w:rPr>
        <w:t xml:space="preserve">Hachette Book Grp., Inc. v. Internet Archive</w:t>
      </w:r>
      <w:r>
        <w:t xml:space="preserve">, 115 F.4th 163, 189 (2d Cir. 2024));</w:t>
      </w:r>
      <w:r>
        <w:t xml:space="preserve"> </w:t>
      </w:r>
      <w:r>
        <w:rPr>
          <w:i/>
          <w:iCs/>
        </w:rPr>
        <w:t xml:space="preserve">Campbell</w:t>
      </w:r>
      <w:r>
        <w:t xml:space="preserve">, 510 U.S. at 591-92 (quoting</w:t>
      </w:r>
      <w:r>
        <w:t xml:space="preserve"> </w:t>
      </w:r>
      <w:r>
        <w:rPr>
          <w:i/>
          <w:iCs/>
        </w:rPr>
        <w:t xml:space="preserve">Fisher v. Dees</w:t>
      </w:r>
      <w:r>
        <w:t xml:space="preserve">, 794 F.2d 432, 438 (9th Cir. 1986)).</w:t>
      </w:r>
    </w:p>
    <w:p>
      <w:pPr>
        <w:pStyle w:val="BodyText"/>
      </w:pPr>
      <w:r>
        <w:t xml:space="preserve">Additionally, there is no protectible derivative market for works that criticize the original because copyright holders would not license others to create critical reviews or lampoons of their own productions. This unlikelihood removes such uses from the very notion of a potential licensing market, preventing copyright holders from using control over derivative works to suppress criticism.</w:t>
      </w:r>
    </w:p>
    <w:p>
      <w:pPr>
        <w:pStyle w:val="BodyText"/>
      </w:pPr>
      <w:r>
        <w:rPr>
          <w:i/>
          <w:iCs/>
        </w:rPr>
        <w:t xml:space="preserve">Campbell</w:t>
      </w:r>
      <w:r>
        <w:t xml:space="preserve">, 510 U.S. at 592;</w:t>
      </w:r>
      <w:r>
        <w:t xml:space="preserve"> </w:t>
      </w:r>
      <w:r>
        <w:rPr>
          <w:i/>
          <w:iCs/>
        </w:rPr>
        <w:t xml:space="preserve">Santos</w:t>
      </w:r>
      <w:r>
        <w:t xml:space="preserve">, 154 F.4th at 35.</w:t>
      </w:r>
    </w:p>
    <w:bookmarkStart w:id="27" w:name="application-3"/>
    <w:p>
      <w:pPr>
        <w:pStyle w:val="Heading3"/>
      </w:pPr>
      <w:r>
        <w:t xml:space="preserve">Application:</w:t>
      </w:r>
    </w:p>
    <w:p>
      <w:pPr>
        <w:pStyle w:val="FirstParagraph"/>
      </w:pPr>
      <w:r>
        <w:t xml:space="preserve">No derivative market exists for educational songs that criticize Riven’s own work. Even if Riven has developed or could develop an educational licensing market for his song, that market encompasses entertainment-educational derivatives—fun songs that teach history using his appealing melody. It does not and cannot extend to critical-educational derivatives—songs that point out why Riven’s version is pedagogically inadequate and historically inaccurate. Riven would never license someone to create corrected versions of his song that expose its flaws. The derivative works right protects markets the copyright holder would actually exploit; it does not extend to works the holder would never authorize, particularly criticism of their own work. EchoCraft operates in the</w:t>
      </w:r>
      <w:r>
        <w:t xml:space="preserve"> </w:t>
      </w:r>
      <w:r>
        <w:t xml:space="preserve">“</w:t>
      </w:r>
      <w:r>
        <w:t xml:space="preserve">no licensing market</w:t>
      </w:r>
      <w:r>
        <w:t xml:space="preserve">”</w:t>
      </w:r>
      <w:r>
        <w:t xml:space="preserve"> </w:t>
      </w:r>
      <w:r>
        <w:t xml:space="preserve">zone of criticism, not in competition with Riven’s potential licensing opportunities.</w:t>
      </w:r>
    </w:p>
    <w:p>
      <w:pPr>
        <w:pStyle w:val="BodyText"/>
      </w:pPr>
      <w:r>
        <w:t xml:space="preserve">Moreover, any harm to Riven’s market results from critical suppression, not market substitution. If schools reject Riven’s song after encountering EchoCraft’s version, it is because EchoCraft’s criticism is effective—educators realize that Riven’s version teaches false or misleading history. This is precisely the kind of harm that criticism inflicts, and it is not cognizable under copyright law. Schools are not choosing EchoCraft’s version as an entertaining substitute for the same entertainment purpose; they are rejecting Riven’s pedagogical approach after confronting its shortcomings. This distinction is fundamental: EchoCraft criticizes the original work, reducing demand through the power of critique, rather than usurping demand by offering a competing substitute for the same function.</w:t>
      </w:r>
    </w:p>
    <w:p>
      <w:pPr>
        <w:pStyle w:val="BodyText"/>
      </w:pPr>
      <w:r>
        <w:t xml:space="preserve">Finally, Riven has no established educational licensing market. He engaged only in preliminary negotiations with schools without executing contracts or generating licensing revenue. His market is primarily commercial entertainment. EchoCraft’s nonprofit educational use, distributed below cost to schools, does not compete in that commercial entertainment market. Even if Riven eventually develops an educational licensing market, it would be for uncritical derivatives, not for works that expose the inadequacies of his historical treatment.</w:t>
      </w:r>
    </w:p>
    <w:p>
      <w:pPr>
        <w:pStyle w:val="BodyText"/>
      </w:pPr>
      <w:r>
        <w:t xml:space="preserve">Factor Four thus strongly favors EchoCraft, as the record demonstrates no cognizable market harm through substitution, no protectible derivative market for criticism, and no established licensing market that EchoCraft could usurp.</w:t>
      </w:r>
    </w:p>
    <w:bookmarkEnd w:id="27"/>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2026-02-04T22:45:17Z</dcterms:created>
  <dcterms:modified xsi:type="dcterms:W3CDTF">2026-02-04T22:45:17Z</dcterms:modified>
</cp:coreProperties>
</file>

<file path=docProps/custom.xml><?xml version="1.0" encoding="utf-8"?>
<Properties xmlns="http://schemas.openxmlformats.org/officeDocument/2006/custom-properties" xmlns:vt="http://schemas.openxmlformats.org/officeDocument/2006/docPropsVTypes"/>
</file>