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i w:val="0"/>
          <w:strike w:val="0"/>
        </w:rPr>
        <w:t>Core Question:</w:t>
      </w:r>
      <w:r>
        <w:rPr>
          <w:b w:val="0"/>
          <w:i w:val="0"/>
          <w:strike w:val="0"/>
        </w:rPr>
        <w:t xml:space="preserve"> Does correcting factual inaccuracies in an educational work constitute transformative use under Campbell/Warhol?</w:t>
        <w:br/>
        <w:br/>
      </w:r>
      <w:r>
        <w:rPr>
          <w:b/>
          <w:i w:val="0"/>
          <w:strike w:val="0"/>
        </w:rPr>
        <w:t>Sub-questions:</w:t>
      </w:r>
      <w:r>
        <w:rPr>
          <w:b w:val="0"/>
          <w:i w:val="0"/>
          <w:strike w:val="0"/>
        </w:rPr>
        <w:br/>
        <w:br/>
        <w:t>- What degree of transformation is required when both works serve educational markets?</w:t>
        <w:br/>
        <w:t>- Does factual accuracy enhancement count as "new meaning, message, or expression"?</w:t>
        <w:br/>
        <w:t>- How do courts weigh pedagogical transformation (memorization → critical thinking)?</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New York</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Correcting factual inaccuracies in an educational work likely does not constitute transformative use under the Campbell/Warhol framework when both the original and corrected works serve the same educational market. The Supreme Court's decision in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established that works serving "substantially the same" purpose require "a particularly compelling justification" for copying, which mere factual accuracy improvements typically cannot provide. While factual corrections may be helpful for educational purposes, the Warhol Court explicitly rejected the notion that copying is justified simply because it helps convey information more effectively.</w:t>
        <w:br/>
      </w:r>
    </w:p>
    <w:p>
      <w:pPr>
        <w:pStyle w:val="Heading3"/>
        <w:rPr>
          <w:b w:val="0"/>
          <w:i w:val="0"/>
          <w:strike w:val="0"/>
        </w:rPr>
      </w:pPr>
      <w:r>
        <w:rPr>
          <w:b/>
          <w:u w:val="none"/>
        </w:rPr>
        <w:t>Transformative Use Standard Under Campbell and Warhol</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Supreme Court in </w:t>
      </w:r>
      <w:hyperlink r:id="rId7"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Campbell v. Acuff-Rose Music, Inc., 510 U.S. 569 (1994)</w:t>
        </w:r>
      </w:hyperlink>
      <w:r>
        <w:rPr>
          <w:rFonts w:ascii="Arial" w:eastAsia="Times New Roman" w:hAnsi="Arial" w:cs="Arial"/>
          <w:b w:val="0"/>
          <w:i w:val="0"/>
          <w:strike w:val="0"/>
          <w:color w:val="1D1D1D"/>
          <w:u w:val="none"/>
        </w:rPr>
        <w:t xml:space="preserve"> established that transformative use is central to fair use analysis under the first factor of 17 U.S.C. § 107(1) </w:t>
      </w:r>
      <w:hyperlink r:id="rId9" w:history="1">
        <w:r>
          <w:rPr>
            <w:rStyle w:val="Hyperlink"/>
            <w:rFonts w:ascii="Arial" w:eastAsia="Times New Roman" w:hAnsi="Arial" w:cs="Arial"/>
            <w:b w:val="0"/>
            <w:i w:val="0"/>
            <w:strike w:val="0"/>
            <w:color w:val="467886"/>
            <w:u w:val="none"/>
          </w:rPr>
          <w:t>17 USCA § 107</w:t>
        </w:r>
      </w:hyperlink>
      <w:r>
        <w:rPr>
          <w:rFonts w:ascii="Arial" w:eastAsia="Times New Roman" w:hAnsi="Arial" w:cs="Arial"/>
          <w:b w:val="0"/>
          <w:i w:val="0"/>
          <w:strike w:val="0"/>
          <w:color w:val="1D1D1D"/>
          <w:u w:val="none"/>
        </w:rPr>
        <w:t xml:space="preserve">. The Court held that transformative works "add something new, with a further purpose or different character, altering the first with new expression, meaning, or message" and that "the more transformative the new work, the less will be the significance of other factors, like commercialism." </w:t>
      </w:r>
      <w:hyperlink r:id="rId7"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Campbell v. Acuff-Rose Music, Inc., 510 U.S. 569 (1994)</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However, the Supreme Court significantly refined this standard in </w:t>
      </w:r>
      <w:hyperlink r:id="rId4"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The Court clarified that transformative analysis "focuses on whether an allegedly infringing use has a further purpose or different character, which is a matter of degree, and the degree of difference must be weighed against other considerations, like commercialism." </w:t>
      </w:r>
      <w:hyperlink r:id="rId4"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Crucially, the Court held that "new expression, meaning, or message may be relevant to whether a copying use has a sufficiently distinct purpose or character, it is not, without more, dispositive of the first factor." </w:t>
      </w:r>
      <w:hyperlink r:id="rId4"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br/>
      </w:r>
    </w:p>
    <w:p>
      <w:pPr>
        <w:pStyle w:val="Heading3"/>
        <w:rPr>
          <w:b w:val="0"/>
          <w:i w:val="0"/>
          <w:strike w:val="0"/>
        </w:rPr>
      </w:pPr>
      <w:r>
        <w:rPr>
          <w:b/>
          <w:u w:val="none"/>
        </w:rPr>
        <w:t>Degree of Transformation in Educational Markets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When both original and secondary works serve educational markets, the Warhol standard requires heightened scrutiny. The Court warned that broad transformation standards "would potentially authorize a range of commercial copying" where users could "make modest alterations to the original" and "claim transformative use" merely by portraying subjects differently. </w:t>
      </w:r>
      <w:hyperlink r:id="rId4"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in </w:t>
      </w:r>
      <w:hyperlink r:id="rId10"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Authors Guild v. Google, Inc., 804 F.3d 202 (2015)</w:t>
        </w:r>
      </w:hyperlink>
      <w:r>
        <w:rPr>
          <w:rFonts w:ascii="Arial" w:eastAsia="Times New Roman" w:hAnsi="Arial" w:cs="Arial"/>
          <w:b w:val="0"/>
          <w:i w:val="0"/>
          <w:strike w:val="0"/>
          <w:color w:val="1D1D1D"/>
          <w:u w:val="none"/>
        </w:rPr>
        <w:t xml:space="preserve"> recognized that while factual works "often present well justified fair uses" because accuracy testing "may reasonably require quotation," the mere factual nature of a work "does not necessarily justify copying of its protected expression." </w:t>
      </w:r>
      <w:hyperlink r:id="rId10"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Authors Guild v. Google, Inc., 804 F.3d 202 (2015)</w:t>
        </w:r>
      </w:hyperlink>
      <w:r>
        <w:rPr>
          <w:rFonts w:ascii="Arial" w:eastAsia="Times New Roman" w:hAnsi="Arial" w:cs="Arial"/>
          <w:b w:val="0"/>
          <w:i w:val="0"/>
          <w:strike w:val="0"/>
          <w:color w:val="1D1D1D"/>
          <w:u w:val="none"/>
        </w:rPr>
        <w:t xml:space="preserve"> This principle suggests that factual corrections alone cannot establish the requisite transformation.</w:t>
        <w:br/>
      </w:r>
    </w:p>
    <w:p>
      <w:pPr>
        <w:pStyle w:val="Heading3"/>
        <w:rPr>
          <w:b w:val="0"/>
          <w:i w:val="0"/>
          <w:strike w:val="0"/>
        </w:rPr>
      </w:pPr>
      <w:r>
        <w:rPr>
          <w:b/>
          <w:u w:val="none"/>
        </w:rPr>
        <w:t>Compelling Justification Requirement</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Warhol, when works share the same or highly similar purposes, courts require "a particularly compelling justification" for copying beyond mere helpfulness. </w:t>
      </w:r>
      <w:hyperlink r:id="rId4" w:history="1">
        <w:r>
          <w:pict>
            <v:shape id="_x0000_i1035"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The Court specifically rejected arguments that copying was justified because it helped "convey a new meaning or message," stating that "that does not suffice under the first factor" and would fail to distinguish legitimate users "from a long list of would-be fair users." </w:t>
      </w:r>
      <w:hyperlink r:id="rId4" w:history="1">
        <w:r>
          <w:pict>
            <v:shape id="_x0000_i103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York federal courts have consistently applied this strict standard. In cases like </w:t>
      </w:r>
      <w:hyperlink r:id="rId12" w:history="1">
        <w:r>
          <w:pict>
            <v:shape id="_x0000_i103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Hughes v. Benjamin, 437 F.Supp.3d 382 (2020)</w:t>
        </w:r>
      </w:hyperlink>
      <w:r>
        <w:rPr>
          <w:rFonts w:ascii="Arial" w:eastAsia="Times New Roman" w:hAnsi="Arial" w:cs="Arial"/>
          <w:b w:val="0"/>
          <w:i w:val="0"/>
          <w:strike w:val="0"/>
          <w:color w:val="1D1D1D"/>
          <w:u w:val="none"/>
        </w:rPr>
        <w:t xml:space="preserve">, the Southern District of New York emphasized that transformative analysis is "an open-ended and context-sensitive inquiry" based on "how the work in question appears to the reasonable observer," requiring that "the new work uses the copyrighted material itself for a purpose, or imbues it with a character, different from that for which it was created." </w:t>
      </w:r>
      <w:hyperlink r:id="rId12" w:history="1">
        <w:r>
          <w:pict>
            <v:shape id="_x0000_i103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Hughes v. Benjamin, 437 F.Supp.3d 382 (2020)</w:t>
        </w:r>
      </w:hyperlink>
      <w:r>
        <w:rPr>
          <w:rFonts w:ascii="Arial" w:eastAsia="Times New Roman" w:hAnsi="Arial" w:cs="Arial"/>
          <w:b w:val="0"/>
          <w:i w:val="0"/>
          <w:strike w:val="0"/>
          <w:color w:val="1D1D1D"/>
          <w:u w:val="none"/>
        </w:rPr>
        <w:br/>
      </w:r>
    </w:p>
    <w:p>
      <w:pPr>
        <w:pStyle w:val="Heading3"/>
        <w:rPr>
          <w:b w:val="0"/>
          <w:i w:val="0"/>
          <w:strike w:val="0"/>
        </w:rPr>
      </w:pPr>
      <w:r>
        <w:rPr>
          <w:b/>
          <w:u w:val="none"/>
        </w:rPr>
        <w:t>Factual Accuracy Enhancement and New Expression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Warhol Court's analysis suggests that factual accuracy improvements, standing alone, would not constitute sufficient "new expression, meaning, or message" to satisfy transformative use requirements. </w:t>
      </w:r>
      <w:hyperlink r:id="rId4" w:history="1">
        <w:r>
          <w:pict>
            <v:shape id="_x0000_i103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Both original educational materials and factually corrected versions typically serve the same pedagogical function of conveying information to students, falling within what the Court described as uses with "substantially the same" purpose. </w:t>
      </w:r>
      <w:hyperlink r:id="rId4" w:history="1">
        <w:r>
          <w:pict>
            <v:shape id="_x0000_i104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pedagogical transformation from passive memorization to critical thinking, while educationally valuable, would likely be insufficient under Warhol's framework. The Court emphasized that transformation analysis must examine "the specific use of a copyrighted work" rather than general educational benefits. </w:t>
      </w:r>
      <w:hyperlink r:id="rId4" w:history="1">
        <w:r>
          <w:pict>
            <v:shape id="_x0000_i104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Since both works would typically be used in similar educational contexts to teach similar concepts, the degree of transformation would likely be insufficient to overcome the same-purpose analysis.</w:t>
      </w:r>
    </w:p>
    <w:p w:rsidR="000911FB" w:rsidRPr="00E5063B" w:rsidP="000911FB" w14:paraId="5F10F1E7" w14:textId="77777777">
      <w:pPr>
        <w:pStyle w:val="Report-Body"/>
      </w:pP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2"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5</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43" type="#_x0000_t75" alt="KeyCite Yellow Flag" style="width:16pt;height:16pt">
              <v:imagedata r:id="rId5" o:title=""/>
            </v:shape>
          </w:pict>
        </w:r>
      </w:hyperlink>
      <w:r>
        <w:t xml:space="preserve"> </w:t>
      </w:r>
      <w:hyperlink r:id="rId6" w:history="1">
        <w:r>
          <w:rPr>
            <w:rStyle w:val="Hyperlink"/>
            <w:b/>
            <w:i w:val="0"/>
            <w:strike w:val="0"/>
            <w:color w:val="467886"/>
            <w:u w:val="single"/>
          </w:rPr>
          <w:t>Andy Warhol Foundation for the Visual Arts, Inc. v. Goldsmith</w:t>
        </w:r>
      </w:hyperlink>
    </w:p>
    <w:p w:rsidR="000911FB" w:rsidRPr="00C67A9D" w:rsidP="000911FB" w14:paraId="778AA143"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May 18, 2023</w:t>
      </w:r>
      <w:r w:rsidRPr="00C67A9D">
        <w:rPr>
          <w:b w:val="0"/>
          <w:bCs w:val="0"/>
        </w:rPr>
        <w:t xml:space="preserve">   •   </w:t>
      </w:r>
      <w:r>
        <w:rPr>
          <w:b/>
          <w:i w:val="0"/>
          <w:strike w:val="0"/>
        </w:rPr>
        <w:t>598 U.S. 508</w:t>
      </w:r>
      <w:r w:rsidRPr="00C67A9D">
        <w:rPr>
          <w:b w:val="0"/>
          <w:bCs w:val="0"/>
        </w:rPr>
        <w:t xml:space="preserve">   •   </w:t>
      </w:r>
      <w:r>
        <w:rPr>
          <w:b/>
          <w:i w:val="0"/>
          <w:strike w:val="0"/>
        </w:rPr>
        <w:t>143 S.Ct. 1258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works serving substantially the same purpose require compelling justification for copying and that new expression alone is insufficient for transformative use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...But the first fair use factor instead focuses on whether an allegedly infringing use has a further purpose or different character, which is a matter of degree, and the degree of difference must be weighed against other considerations, like commercialism. Although new expression, meaning, or message may be relevant to whether a copying use has a sufficiently distinct purpose or character, it is not, without more, dispositive of the first factor....</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...To hold otherwise would potentially authorize a range of commercial copying of photographs, to be used for purposes that are substantially the same as those of the originals. As long as the user somehow portrays the subject of the photograph differently, he could make modest alterations to the original, sell it to an outlet to accompany a story about the subject, and claim transformative use....</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 xml:space="preserve">...Moreover, because AWF's commercial use of Goldsmith's photograph to illustrate a magazine about Prince is so similar to the photograph's typical use, a particularly compelling justification is needed. Yet AWF offers no independent justification, let alone a compelling one, for copying the photograph, other than to convey a new * meaning or message. As explained, that alone is not enough for the first factor to favor fair use. Copying might have been helpful to convey a new meaning or message. </w:t>
            </w:r>
            <w:r>
              <w:rPr>
                <w:rFonts w:ascii="Arial" w:eastAsia="Times New Roman" w:hAnsi="Arial" w:cs="Arial"/>
                <w:b w:val="0"/>
                <w:i w:val="0"/>
                <w:strike w:val="0"/>
                <w:color w:val="1D1D1D"/>
              </w:rPr>
              <w:t>[^17]</w:t>
            </w:r>
            <w:r>
              <w:rPr>
                <w:rFonts w:ascii="Arial" w:eastAsia="Times New Roman" w:hAnsi="Arial" w:cs="Arial"/>
                <w:b w:val="0"/>
                <w:i w:val="0"/>
                <w:strike w:val="0"/>
                <w:color w:val="1D1D1D"/>
              </w:rPr>
              <w:t>: But that does not suffice under the first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44" type="#_x0000_t75" alt="KeyCite Yellow Flag" style="width:16pt;height:16pt">
              <v:imagedata r:id="rId5" o:title=""/>
            </v:shape>
          </w:pict>
        </w:r>
      </w:hyperlink>
      <w:r>
        <w:t xml:space="preserve"> </w:t>
      </w:r>
      <w:hyperlink r:id="rId8" w:history="1">
        <w:r>
          <w:rPr>
            <w:rStyle w:val="Hyperlink"/>
            <w:b/>
            <w:i w:val="0"/>
            <w:strike w:val="0"/>
            <w:color w:val="467886"/>
            <w:u w:val="single"/>
          </w:rPr>
          <w:t>Campbell v. Acuff-Rose Music, Inc.</w:t>
        </w:r>
      </w:hyperlink>
    </w:p>
    <w:p w:rsidR="000911FB" w:rsidRPr="00C67A9D" w:rsidP="000911FB"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March 07, 1994</w:t>
      </w:r>
      <w:r w:rsidRPr="00C67A9D">
        <w:rPr>
          <w:b w:val="0"/>
          <w:bCs w:val="0"/>
        </w:rPr>
        <w:t xml:space="preserve">   •   </w:t>
      </w:r>
      <w:r>
        <w:rPr>
          <w:b/>
          <w:i w:val="0"/>
          <w:strike w:val="0"/>
        </w:rPr>
        <w:t>510 U.S. 569</w:t>
      </w:r>
      <w:r w:rsidRPr="00C67A9D">
        <w:rPr>
          <w:b w:val="0"/>
          <w:bCs w:val="0"/>
        </w:rPr>
        <w:t xml:space="preserve">   •   </w:t>
      </w:r>
      <w:r>
        <w:rPr>
          <w:b/>
          <w:i w:val="0"/>
          <w:strike w:val="0"/>
        </w:rPr>
        <w:t>114 S.Ct. 1164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transformative use as central to fair use analysis and holding that transformative character reduces significance of commercial factors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9" w:history="1">
        <w:r>
          <w:rPr>
            <w:rStyle w:val="Hyperlink"/>
            <w:b/>
            <w:i w:val="0"/>
            <w:strike w:val="0"/>
            <w:color w:val="467886"/>
            <w:u w:val="single"/>
          </w:rPr>
          <w:t>§ 107. Limitations on exclusive rights:  Fair use</w:t>
        </w:r>
      </w:hyperlink>
    </w:p>
    <w:p w:rsidR="000911FB" w:rsidRPr="00C67A9D" w:rsidP="000911FB" w14:textId="43CA2655">
      <w:pPr>
        <w:pStyle w:val="Report-Metadata"/>
        <w:rPr>
          <w:b w:val="0"/>
          <w:bCs w:val="0"/>
        </w:rPr>
      </w:pPr>
      <w:r>
        <w:rPr>
          <w:b/>
          <w:i w:val="0"/>
          <w:strike w:val="0"/>
        </w:rPr>
        <w:t>17 USCA § 107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Fair use statute requiring analysis of "purpose and character of the use, including whether such use is of a commercial nature or is for nonprofit educational purposes"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hyperlink r:id="rId10" w:history="1">
        <w:r>
          <w:pict>
            <v:shape id="_x0000_i1045" type="#_x0000_t75" alt="KeyCite Yellow Flag" style="width:16pt;height:16pt">
              <v:imagedata r:id="rId5" o:title=""/>
            </v:shape>
          </w:pict>
        </w:r>
      </w:hyperlink>
      <w:r>
        <w:t xml:space="preserve"> </w:t>
      </w:r>
      <w:hyperlink r:id="rId11" w:history="1">
        <w:r>
          <w:rPr>
            <w:rStyle w:val="Hyperlink"/>
            <w:b/>
            <w:i w:val="0"/>
            <w:strike w:val="0"/>
            <w:color w:val="467886"/>
            <w:u w:val="single"/>
          </w:rPr>
          <w:t>Authors Guild v. Google, Inc.</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16, 2015</w:t>
      </w:r>
      <w:r w:rsidRPr="00C67A9D">
        <w:rPr>
          <w:b w:val="0"/>
          <w:bCs w:val="0"/>
        </w:rPr>
        <w:t xml:space="preserve">   •   </w:t>
      </w:r>
      <w:r>
        <w:rPr>
          <w:b/>
          <w:i w:val="0"/>
          <w:strike w:val="0"/>
        </w:rPr>
        <w:t>804 F.3d 202</w:t>
      </w:r>
      <w:r w:rsidRPr="00C67A9D">
        <w:rPr>
          <w:b w:val="0"/>
          <w:bCs w:val="0"/>
        </w:rPr>
        <w:t xml:space="preserve">   •   </w:t>
      </w:r>
      <w:r>
        <w:rPr>
          <w:b/>
          <w:i w:val="0"/>
          <w:strike w:val="0"/>
        </w:rPr>
        <w:t>2015 WL 6079426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factual nature of works may justify quotation for accuracy testing but does not automatically justify copying protected expression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...B. Factor Two. We think it unlikely that the Supreme Court meant in its concise dictum that secondary authors are at liberty to copy extensively from the protected expression of the original author merely because the material is factual. What the Harper &amp; Row dictum may well have meant is that, because in the case of factual writings, there is often occasion to test the accuracy of, to rely on, or to repeat their factual propositions, and such testing and reliance may reasonably require quotation (lest a change of expression unwittingly alter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hyperlink r:id="rId12" w:history="1">
        <w:r>
          <w:pict>
            <v:shape id="_x0000_i1046" type="#_x0000_t75" alt="KeyCite Yellow Flag" style="width:16pt;height:16pt">
              <v:imagedata r:id="rId5" o:title=""/>
            </v:shape>
          </w:pict>
        </w:r>
      </w:hyperlink>
      <w:r>
        <w:t xml:space="preserve"> </w:t>
      </w:r>
      <w:hyperlink r:id="rId13" w:history="1">
        <w:r>
          <w:rPr>
            <w:rStyle w:val="Hyperlink"/>
            <w:b/>
            <w:i w:val="0"/>
            <w:strike w:val="0"/>
            <w:color w:val="467886"/>
            <w:u w:val="single"/>
          </w:rPr>
          <w:t>Hughes v. Benjamin</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February 03, 2020</w:t>
      </w:r>
      <w:r w:rsidRPr="00C67A9D">
        <w:rPr>
          <w:b w:val="0"/>
          <w:bCs w:val="0"/>
        </w:rPr>
        <w:t xml:space="preserve">   •   </w:t>
      </w:r>
      <w:r>
        <w:rPr>
          <w:b/>
          <w:i w:val="0"/>
          <w:strike w:val="0"/>
        </w:rPr>
        <w:t>437 F.Supp.3d 382</w:t>
      </w:r>
      <w:r w:rsidRPr="00C67A9D">
        <w:rPr>
          <w:b w:val="0"/>
          <w:bCs w:val="0"/>
        </w:rPr>
        <w:t xml:space="preserve">   •   </w:t>
      </w:r>
      <w:r>
        <w:rPr>
          <w:b/>
          <w:i w:val="0"/>
          <w:strike w:val="0"/>
        </w:rPr>
        <w:t>2020 WL 528704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Applying transformative use standard and emphasizing context-sensitive inquiry based on reasonable observer perspective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RPr="00E5063B" w:rsidP="000911FB" w14:paraId="5C581A35" w14:textId="77777777">
      <w:pPr>
        <w:spacing w:before="113" w:after="113"/>
        <w:rPr>
          <w:rFonts w:cs="Arial"/>
          <w:b/>
          <w:sz w:val="16"/>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Analyzing the Supreme Court's holding in Campbell v. Acuff-Rose Music regarding the transformative use standard under the first fair use factor</w:t>
      </w:r>
    </w:p>
    <w:p>
      <w:pPr>
        <w:numPr>
          <w:ilvl w:val="1"/>
          <w:numId w:val="34"/>
        </w:numPr>
        <w:rPr>
          <w:b w:val="0"/>
          <w:i w:val="0"/>
          <w:strike w:val="0"/>
        </w:rPr>
      </w:pPr>
      <w:r>
        <w:rPr>
          <w:rFonts w:ascii="Arial" w:eastAsia="Times New Roman" w:hAnsi="Arial" w:cs="Arial"/>
          <w:b w:val="0"/>
          <w:i w:val="0"/>
          <w:strike w:val="0"/>
          <w:color w:val="1D1D1D"/>
        </w:rPr>
        <w:t>Campbell established transformative use as central to fair use analysis - works that add new expression, meaning or message, with commercial nature less significant if highly transformative</w:t>
      </w:r>
    </w:p>
    <w:p>
      <w:pPr>
        <w:numPr>
          <w:ilvl w:val="0"/>
          <w:numId w:val="34"/>
        </w:numPr>
        <w:rPr>
          <w:b w:val="0"/>
          <w:i w:val="0"/>
          <w:strike w:val="0"/>
        </w:rPr>
      </w:pPr>
      <w:r>
        <w:rPr>
          <w:rFonts w:ascii="Arial" w:eastAsia="Times New Roman" w:hAnsi="Arial" w:cs="Arial"/>
          <w:b w:val="0"/>
          <w:i w:val="0"/>
          <w:strike w:val="0"/>
          <w:color w:val="1D1D1D"/>
        </w:rPr>
        <w:t>Examining the Supreme Court's decision in Andy Warhol Foundation for the Visual Arts, Inc. v. Goldsmith and its refinement of the transformative use analysis</w:t>
      </w:r>
    </w:p>
    <w:p>
      <w:pPr>
        <w:numPr>
          <w:ilvl w:val="1"/>
          <w:numId w:val="34"/>
        </w:numPr>
        <w:rPr>
          <w:b w:val="0"/>
          <w:i w:val="0"/>
          <w:strike w:val="0"/>
        </w:rPr>
      </w:pPr>
      <w:r>
        <w:rPr>
          <w:rFonts w:ascii="Arial" w:eastAsia="Times New Roman" w:hAnsi="Arial" w:cs="Arial"/>
          <w:b w:val="0"/>
          <w:i w:val="0"/>
          <w:strike w:val="0"/>
          <w:color w:val="1D1D1D"/>
        </w:rPr>
        <w:t>Warhol refined transformative analysis - requires examining specific use context, not just general transformative character. Commercial licensing in same market weighs against fair use even if work is transformative</w:t>
      </w:r>
    </w:p>
    <w:p>
      <w:pPr>
        <w:numPr>
          <w:ilvl w:val="0"/>
          <w:numId w:val="34"/>
        </w:numPr>
        <w:rPr>
          <w:b w:val="0"/>
          <w:i w:val="0"/>
          <w:strike w:val="0"/>
        </w:rPr>
      </w:pPr>
      <w:r>
        <w:rPr>
          <w:rFonts w:ascii="Arial" w:eastAsia="Times New Roman" w:hAnsi="Arial" w:cs="Arial"/>
          <w:b w:val="0"/>
          <w:i w:val="0"/>
          <w:strike w:val="0"/>
          <w:color w:val="1D1D1D"/>
        </w:rPr>
        <w:t>Researching New York state court decisions applying the Campbell/Warhol transformative use standard to educational works and factual corrections</w:t>
      </w:r>
    </w:p>
    <w:p>
      <w:pPr>
        <w:numPr>
          <w:ilvl w:val="1"/>
          <w:numId w:val="34"/>
        </w:numPr>
        <w:rPr>
          <w:b w:val="0"/>
          <w:i w:val="0"/>
          <w:strike w:val="0"/>
        </w:rPr>
      </w:pPr>
      <w:r>
        <w:rPr>
          <w:rFonts w:ascii="Arial" w:eastAsia="Times New Roman" w:hAnsi="Arial" w:cs="Arial"/>
          <w:b w:val="0"/>
          <w:i w:val="0"/>
          <w:strike w:val="0"/>
          <w:color w:val="1D1D1D"/>
        </w:rPr>
        <w:t>New York federal courts apply strict transformative standard post-Warhol. Courts require more than helpful corrections - need compelling justification when works serve same educational purpose</w:t>
      </w:r>
    </w:p>
    <w:p>
      <w:pPr>
        <w:numPr>
          <w:ilvl w:val="0"/>
          <w:numId w:val="34"/>
        </w:numPr>
        <w:rPr>
          <w:b w:val="0"/>
          <w:i w:val="0"/>
          <w:strike w:val="0"/>
        </w:rPr>
      </w:pPr>
      <w:r>
        <w:rPr>
          <w:rFonts w:ascii="Arial" w:eastAsia="Times New Roman" w:hAnsi="Arial" w:cs="Arial"/>
          <w:b w:val="0"/>
          <w:i w:val="0"/>
          <w:strike w:val="0"/>
          <w:color w:val="1D1D1D"/>
        </w:rPr>
        <w:t>Investigating federal circuit court precedent from the Second Circuit regarding transformative use in educational contexts and factual error correction</w:t>
      </w:r>
    </w:p>
    <w:p>
      <w:pPr>
        <w:numPr>
          <w:ilvl w:val="1"/>
          <w:numId w:val="34"/>
        </w:numPr>
        <w:rPr>
          <w:b w:val="0"/>
          <w:i w:val="0"/>
          <w:strike w:val="0"/>
        </w:rPr>
      </w:pPr>
      <w:r>
        <w:rPr>
          <w:rFonts w:ascii="Arial" w:eastAsia="Times New Roman" w:hAnsi="Arial" w:cs="Arial"/>
          <w:b w:val="0"/>
          <w:i w:val="0"/>
          <w:strike w:val="0"/>
          <w:color w:val="1D1D1D"/>
        </w:rPr>
        <w:t>Second Circuit established in Authors Guild v. Google that factual works may justify quotation for accuracy testing, but mere factual nature doesn't justify copying protected expression. Educational purpose alone insufficient for fair use</w:t>
      </w:r>
    </w:p>
    <w:p>
      <w:pPr>
        <w:numPr>
          <w:ilvl w:val="0"/>
          <w:numId w:val="34"/>
        </w:numPr>
        <w:rPr>
          <w:b w:val="0"/>
          <w:i w:val="0"/>
          <w:strike w:val="0"/>
        </w:rPr>
      </w:pPr>
      <w:r>
        <w:rPr>
          <w:rFonts w:ascii="Arial" w:eastAsia="Times New Roman" w:hAnsi="Arial" w:cs="Arial"/>
          <w:b w:val="0"/>
          <w:i w:val="0"/>
          <w:strike w:val="0"/>
          <w:color w:val="1D1D1D"/>
        </w:rPr>
        <w:t>Analyzing how New York courts have applied the purpose and character analysis under 17 U.S.C. § 107 to works that correct or update factual information</w:t>
      </w:r>
    </w:p>
    <w:p>
      <w:pPr>
        <w:numPr>
          <w:ilvl w:val="1"/>
          <w:numId w:val="34"/>
        </w:numPr>
        <w:rPr>
          <w:b w:val="0"/>
          <w:i w:val="0"/>
          <w:strike w:val="0"/>
        </w:rPr>
      </w:pPr>
      <w:r>
        <w:rPr>
          <w:rFonts w:ascii="Arial" w:eastAsia="Times New Roman" w:hAnsi="Arial" w:cs="Arial"/>
          <w:b w:val="0"/>
          <w:i w:val="0"/>
          <w:strike w:val="0"/>
          <w:color w:val="1D1D1D"/>
        </w:rPr>
        <w:t>NY courts follow federal standard - 17 USC 107(1) requires transformative use with compelling justification when original and secondary works serve same market. Commercial/nonprofit distinction less significant if transformative</w:t>
      </w:r>
    </w:p>
    <w:p>
      <w:pPr>
        <w:numPr>
          <w:ilvl w:val="0"/>
          <w:numId w:val="34"/>
        </w:numPr>
        <w:rPr>
          <w:b w:val="0"/>
          <w:i w:val="0"/>
          <w:strike w:val="0"/>
        </w:rPr>
      </w:pPr>
      <w:r>
        <w:rPr>
          <w:rFonts w:ascii="Arial" w:eastAsia="Times New Roman" w:hAnsi="Arial" w:cs="Arial"/>
          <w:b w:val="0"/>
          <w:i w:val="0"/>
          <w:strike w:val="0"/>
          <w:color w:val="1D1D1D"/>
        </w:rPr>
        <w:t>Examining the distinction between transformative purpose and transformative character as applied to educational materials containing factual corrections under New York precedent</w:t>
      </w:r>
    </w:p>
    <w:p>
      <w:pPr>
        <w:numPr>
          <w:ilvl w:val="1"/>
          <w:numId w:val="34"/>
        </w:numPr>
        <w:rPr>
          <w:b w:val="0"/>
          <w:i w:val="0"/>
          <w:strike w:val="0"/>
        </w:rPr>
      </w:pPr>
      <w:r>
        <w:rPr>
          <w:rFonts w:ascii="Arial" w:eastAsia="Times New Roman" w:hAnsi="Arial" w:cs="Arial"/>
          <w:b w:val="0"/>
          <w:i w:val="0"/>
          <w:strike w:val="0"/>
          <w:color w:val="1D1D1D"/>
        </w:rPr>
        <w:t>NY courts distinguish transformative purpose (why work was created) from transformative character (how work appears to reasonable observer). Both original and corrected educational works serving same pedagogical function lack sufficient character difference under Warhol standard. Factual corrections alone don't create new meaning/message sufficient for transformation without compelling independent justification</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7"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is the specific nature and scope of the factual inaccuracies that need correction (dates, names, statistics, historical events, scientific data, etc.)?</w:t>
      </w:r>
    </w:p>
    <w:p>
      <w:pPr>
        <w:numPr>
          <w:ilvl w:val="0"/>
          <w:numId w:val="33"/>
        </w:numPr>
        <w:rPr>
          <w:b w:val="0"/>
          <w:i w:val="0"/>
          <w:strike w:val="0"/>
        </w:rPr>
      </w:pPr>
      <w:r>
        <w:rPr>
          <w:rFonts w:ascii="Arial" w:hAnsi="Arial" w:cs="Arial"/>
          <w:b/>
          <w:i w:val="0"/>
          <w:strike w:val="0"/>
          <w:color w:val="1D1D1D"/>
        </w:rPr>
        <w:t>Are you planning to use the corrected work in the same educational market, grade level, or subject area as the original work?</w:t>
      </w:r>
    </w:p>
    <w:p>
      <w:pPr>
        <w:numPr>
          <w:ilvl w:val="0"/>
          <w:numId w:val="33"/>
        </w:numPr>
        <w:rPr>
          <w:b w:val="0"/>
          <w:i w:val="0"/>
          <w:strike w:val="0"/>
        </w:rPr>
      </w:pPr>
      <w:r>
        <w:rPr>
          <w:rFonts w:ascii="Arial" w:hAnsi="Arial" w:cs="Arial"/>
          <w:b/>
          <w:i w:val="0"/>
          <w:strike w:val="0"/>
          <w:color w:val="1D1D1D"/>
        </w:rPr>
        <w:t>How much of the original work's text, structure, or creative expression would need to be copied beyond just the factual corrections?</w:t>
      </w:r>
    </w:p>
    <w:p>
      <w:pPr>
        <w:numPr>
          <w:ilvl w:val="0"/>
          <w:numId w:val="33"/>
        </w:numPr>
        <w:rPr>
          <w:b w:val="0"/>
          <w:i w:val="0"/>
          <w:strike w:val="0"/>
        </w:rPr>
      </w:pPr>
      <w:r>
        <w:rPr>
          <w:rFonts w:ascii="Arial" w:hAnsi="Arial" w:cs="Arial"/>
          <w:b/>
          <w:i w:val="0"/>
          <w:strike w:val="0"/>
          <w:color w:val="1D1D1D"/>
        </w:rPr>
        <w:t>Do you have documentation showing the specific factual errors in the original educational work and the sources for your proposed corrections?</w:t>
      </w:r>
    </w:p>
    <w:p>
      <w:pPr>
        <w:numPr>
          <w:ilvl w:val="0"/>
          <w:numId w:val="33"/>
        </w:numPr>
        <w:rPr>
          <w:b w:val="0"/>
          <w:i w:val="0"/>
          <w:strike w:val="0"/>
        </w:rPr>
      </w:pPr>
      <w:r>
        <w:rPr>
          <w:rFonts w:ascii="Arial" w:hAnsi="Arial" w:cs="Arial"/>
          <w:b/>
          <w:i w:val="0"/>
          <w:strike w:val="0"/>
          <w:color w:val="1D1D1D"/>
        </w:rPr>
        <w:t>Would the corrected work serve any purpose beyond improving factual accuracy, such as updating pedagogical methods, adding commentary, or targeting different learning objectives?</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14"/>
      <w:footerReference w:type="even" r:id="rId15"/>
      <w:footerReference w:type="default" r:id="rId16"/>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8</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3, 2026</w:t>
    </w:r>
    <w:r w:rsidRPr="00CA3A86" w:rsidR="00266D65">
      <w:rPr>
        <w:rFonts w:ascii="Arial" w:hAnsi="Arial" w:cs="Arial"/>
        <w:sz w:val="18"/>
        <w:szCs w:val="18"/>
      </w:rPr>
      <w:t xml:space="preserve"> at </w:t>
    </w:r>
    <w:r>
      <w:rPr>
        <w:rFonts w:ascii="Arial" w:hAnsi="Arial" w:cs="Arial"/>
        <w:b w:val="0"/>
        <w:i w:val="0"/>
        <w:strike w:val="0"/>
        <w:sz w:val="18"/>
      </w:rPr>
      <w:t>11:49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semiHidden/>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Link/RelatedInformation/Flag?docGuid=I918674d4743311e5a807ad48145ed9f1&amp;ppcid=i0a89df0b0000019c260186243f737962&amp;transitionType=AIGuidedResearch&amp;contextData=%28sc.Default%29&amp;conversationId=88f476ab-0255-4ace-bd09-51fcaa9479d3" TargetMode="External" /><Relationship Id="rId11" Type="http://schemas.openxmlformats.org/officeDocument/2006/relationships/hyperlink" Target="https://1.next.westlaw.com/Document/I918674d4743311e5a807ad48145ed9f1/View/FullText.html?transitionType=AIGuidedResearch&amp;contextData=%28sc.Default%29&amp;list=All&amp;listSource=WebsiteInternal&amp;conversationId=88f476ab-0255-4ace-bd09-51fcaa9479d3" TargetMode="External" /><Relationship Id="rId12" Type="http://schemas.openxmlformats.org/officeDocument/2006/relationships/hyperlink" Target="https://1.next.westlaw.com/Link/RelatedInformation/Flag?docGuid=I3fabcb10471511ea959390ec898a3607&amp;ppcid=i0a89df0b0000019c260186243f737962&amp;transitionType=AIGuidedResearch&amp;contextData=%28sc.Default%29&amp;conversationId=88f476ab-0255-4ace-bd09-51fcaa9479d3" TargetMode="External" /><Relationship Id="rId13" Type="http://schemas.openxmlformats.org/officeDocument/2006/relationships/hyperlink" Target="https://1.next.westlaw.com/Document/I3fabcb10471511ea959390ec898a3607/View/FullText.html?transitionType=AIGuidedResearch&amp;contextData=%28sc.Default%29&amp;list=All&amp;listSource=WebsiteInternal&amp;conversationId=88f476ab-0255-4ace-bd09-51fcaa9479d3" TargetMode="External"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1.next.westlaw.com/Link/RelatedInformation/Flag?docGuid=Ifd67b741f54e11ed93738d5a07d4dec7&amp;ppcid=i0a89df0b0000019c260186243f737962&amp;transitionType=AIGuidedResearch&amp;contextData=%28sc.Default%29&amp;conversationId=88f476ab-0255-4ace-bd09-51fcaa9479d3"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fd67b741f54e11ed93738d5a07d4dec7/View/FullText.html?transitionType=AIGuidedResearch&amp;contextData=%28sc.Default%29&amp;list=All&amp;listSource=WebsiteInternal&amp;conversationId=88f476ab-0255-4ace-bd09-51fcaa9479d3" TargetMode="External" /><Relationship Id="rId7" Type="http://schemas.openxmlformats.org/officeDocument/2006/relationships/hyperlink" Target="https://1.next.westlaw.com/Link/RelatedInformation/Flag?docGuid=Idb7f90269c4f11d993e6d35cc61aab4a&amp;ppcid=i0a89df0b0000019c260186243f737962&amp;transitionType=AIGuidedResearch&amp;contextData=%28sc.Default%29&amp;conversationId=88f476ab-0255-4ace-bd09-51fcaa9479d3" TargetMode="External" /><Relationship Id="rId8" Type="http://schemas.openxmlformats.org/officeDocument/2006/relationships/hyperlink" Target="https://1.next.westlaw.com/Document/Idb7f90269c4f11d993e6d35cc61aab4a/View/FullText.html?transitionType=AIGuidedResearch&amp;contextData=%28sc.Default%29&amp;list=All&amp;listSource=WebsiteInternal&amp;conversationId=88f476ab-0255-4ace-bd09-51fcaa9479d3" TargetMode="External" /><Relationship Id="rId9" Type="http://schemas.openxmlformats.org/officeDocument/2006/relationships/hyperlink" Target="https://1.next.westlaw.com/Document/N646536A0A06711D8B8FABFF7D35FC9C0/View/FullText.html?transitionType=AIGuidedResearch&amp;contextData=%28sc.Default%29&amp;list=All&amp;listSource=WebsiteInternal&amp;conversationId=88f476ab-0255-4ace-bd09-51fcaa9479d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8</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