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8.0 -->
  <w:body>
    <w:p w:rsidR="000911FB" w:rsidP="000911FB" w14:paraId="14F968FB" w14:textId="46DD7B6A">
      <w:pPr>
        <w:pStyle w:val="Report-Heading"/>
        <w:rPr>
          <w:rFonts w:eastAsiaTheme="minorHAnsi"/>
        </w:rPr>
      </w:pPr>
      <w:r>
        <w:rPr>
          <w:b w:val="0"/>
          <w:i w:val="0"/>
          <w:strike w:val="0"/>
        </w:rPr>
        <w:t>Research question</w:t>
      </w:r>
    </w:p>
    <w:p w:rsidR="00FD0317" w:rsidP="000911FB" w14:paraId="51CFC033" w14:textId="77777777">
      <w:pPr>
        <w:pStyle w:val="Report-Body"/>
      </w:pPr>
    </w:p>
    <w:p w:rsidR="000911FB" w:rsidP="000911FB" w14:paraId="28859EEF" w14:textId="0D31FD51">
      <w:pPr>
        <w:pStyle w:val="Report-Body"/>
      </w:pPr>
      <w:r>
        <w:rPr>
          <w:b/>
          <w:i w:val="0"/>
          <w:strike w:val="0"/>
        </w:rPr>
        <w:t>Core Question:</w:t>
      </w:r>
      <w:r>
        <w:rPr>
          <w:b w:val="0"/>
          <w:i w:val="0"/>
          <w:strike w:val="0"/>
        </w:rPr>
        <w:t xml:space="preserve"> Does correcting historical inaccuracies fall within the statutory categories of "criticism, comment, [or] teaching" under 17 U.S.C. § 107?</w:t>
        <w:br/>
        <w:br/>
      </w:r>
      <w:r>
        <w:rPr>
          <w:b/>
          <w:i w:val="0"/>
          <w:strike w:val="0"/>
        </w:rPr>
        <w:t>Sub-questions:</w:t>
      </w:r>
      <w:r>
        <w:rPr>
          <w:b w:val="0"/>
          <w:i w:val="0"/>
          <w:strike w:val="0"/>
        </w:rPr>
        <w:br/>
        <w:br/>
        <w:t>- What constitutes "criticism" for fair use purposes—must it be meta-commentary or can it be substantive correction?</w:t>
        <w:br/>
        <w:t>- How have courts defined "teaching" beyond classroom distribution?</w:t>
        <w:br/>
        <w:t>- Can a work be both derivative AND critical/educational under Factor 1?</w:t>
      </w:r>
    </w:p>
    <w:p w:rsidR="000911FB" w:rsidRPr="00E5063B" w:rsidP="000911FB" w14:paraId="292F0F17" w14:textId="77777777">
      <w:pPr>
        <w:pStyle w:val="Report-Body"/>
      </w:pPr>
    </w:p>
    <w:p>
      <w:pPr>
        <w:pStyle w:val="Report-Metadata"/>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sz w:val="18"/>
        </w:rPr>
        <w:t>New York</w:t>
        <w:br/>
      </w:r>
    </w:p>
    <w:p w:rsidR="000911FB" w:rsidP="000911FB" w14:paraId="57F8CAA9" w14:textId="77777777">
      <w:pPr>
        <w:pStyle w:val="Report-Body"/>
      </w:pPr>
    </w:p>
    <w:p w:rsidR="000911FB" w:rsidP="000911FB" w14:paraId="7E83A4BC" w14:textId="77777777">
      <w:pPr>
        <w:pStyle w:val="Report-Body"/>
      </w:pPr>
      <w:r>
        <w:rPr>
          <w:noProof/>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852100684"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5" style="mso-wrap-distance-bottom:0;mso-wrap-distance-left:9pt;mso-wrap-distance-right:9pt;mso-wrap-distance-top:0;mso-wrap-style:square;position:absolute;visibility:visible;z-index:251661312" from="0,0.95pt" to="465pt,0.95pt" strokecolor="black" strokeweight="1.5pt">
                <v:stroke joinstyle="miter"/>
              </v:line>
            </w:pict>
          </mc:Fallback>
        </mc:AlternateContent>
      </w:r>
    </w:p>
    <w:p>
      <w:pPr>
        <w:pStyle w:val="Heading3"/>
        <w:rPr>
          <w:b w:val="0"/>
          <w:i w:val="0"/>
          <w:strike w:val="0"/>
        </w:rPr>
      </w:pPr>
      <w:r>
        <w:rPr>
          <w:b/>
          <w:u w:val="none"/>
        </w:rPr>
        <w:t>Summary</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Correcting historical inaccuracies falls squarely within the statutory categories of "criticism, comment, [or] teaching" under 17 U.S.C. § 107. Courts interpret "criticism" broadly to include substantive correction rather than merely meta-commentary, "teaching" extends beyond classroom distribution to scholarly works that add value to prior intellectual labor, and a work can simultaneously qualify as both derivative and critical/educational under Factor 1 analysis.</w:t>
        <w:br/>
      </w:r>
    </w:p>
    <w:p>
      <w:pPr>
        <w:pStyle w:val="Heading3"/>
        <w:rPr>
          <w:b w:val="0"/>
          <w:i w:val="0"/>
          <w:strike w:val="0"/>
        </w:rPr>
      </w:pPr>
      <w:r>
        <w:rPr>
          <w:b/>
          <w:u w:val="none"/>
        </w:rPr>
        <w:t>Statutory Framework and Judicial Interpretation</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fair use statute provides that uses "for purposes such as criticism, comment, news reporting, teaching (including multiple copies for classroom use), scholarship, or research" are not copyright infringement </w:t>
      </w:r>
      <w:hyperlink r:id="rId4"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Campbell v. Acuff-Rose Music, Inc., 510 U.S. 569 (1994)</w:t>
        </w:r>
      </w:hyperlink>
      <w:r>
        <w:rPr>
          <w:rFonts w:ascii="Arial" w:eastAsia="Times New Roman" w:hAnsi="Arial" w:cs="Arial"/>
          <w:b w:val="0"/>
          <w:i w:val="0"/>
          <w:strike w:val="0"/>
          <w:color w:val="1D1D1D"/>
          <w:u w:val="none"/>
        </w:rPr>
        <w:t xml:space="preserve">. The Supreme Court has emphasized that these categories are "illustrative and not limitative," providing "only general guidance about the sorts of copying that courts and Congress most commonly had found to be fair uses" </w:t>
      </w:r>
      <w:hyperlink r:id="rId4" w:history="1">
        <w:r>
          <w:pict>
            <v:shape id="_x0000_i1027"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Campbell v. Acuff-Rose Music, Inc., 510 U.S. 569 (1994)</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Courts analyze whether a use serves these statutory purposes "to an insignificant or a substantial extent," recognizing that "purpose in fair use analysis is not an all-or-nothing matter" </w:t>
      </w:r>
      <w:hyperlink r:id="rId7" w:history="1">
        <w:r>
          <w:pict>
            <v:shape id="_x0000_i1028"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Sega Enterprises Ltd. v. Accolade, Inc., 977 F.2d 1510 (1992)</w:t>
        </w:r>
      </w:hyperlink>
      <w:r>
        <w:rPr>
          <w:rFonts w:ascii="Arial" w:eastAsia="Times New Roman" w:hAnsi="Arial" w:cs="Arial"/>
          <w:b w:val="0"/>
          <w:i w:val="0"/>
          <w:strike w:val="0"/>
          <w:color w:val="1D1D1D"/>
          <w:u w:val="none"/>
        </w:rPr>
        <w:t>. The enumerated categories serve as guidance for the first factor analysis but require evaluation within the complete four-factor framework.</w:t>
        <w:br/>
      </w:r>
    </w:p>
    <w:p>
      <w:pPr>
        <w:pStyle w:val="Heading3"/>
        <w:rPr>
          <w:b w:val="0"/>
          <w:i w:val="0"/>
          <w:strike w:val="0"/>
        </w:rPr>
      </w:pPr>
      <w:r>
        <w:rPr>
          <w:b/>
          <w:u w:val="none"/>
        </w:rPr>
        <w:t>Criticism: Substantive Correction vs. Meta-Commentary</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Federal courts have consistently held that criticism under § 107 encompasses substantive correction of factual inaccuracies, not merely meta-commentary about style or artistic merit. In </w:t>
      </w:r>
      <w:r>
        <w:rPr>
          <w:rFonts w:ascii="Arial" w:eastAsia="Times New Roman" w:hAnsi="Arial" w:cs="Arial"/>
          <w:b w:val="0"/>
          <w:i/>
          <w:strike w:val="0"/>
          <w:color w:val="1D1D1D"/>
          <w:u w:val="none"/>
        </w:rPr>
        <w:t>Campbell v. Acuff-Rose Music, Inc.</w:t>
      </w:r>
      <w:r>
        <w:rPr>
          <w:rFonts w:ascii="Arial" w:eastAsia="Times New Roman" w:hAnsi="Arial" w:cs="Arial"/>
          <w:b w:val="0"/>
          <w:i w:val="0"/>
          <w:strike w:val="0"/>
          <w:color w:val="1D1D1D"/>
          <w:u w:val="none"/>
        </w:rPr>
        <w:t xml:space="preserve">, the Supreme Court established that criticism includes works that "comment on that author's works" and advance "the interests sought to be promoted by the copyright law" </w:t>
      </w:r>
      <w:hyperlink r:id="rId4" w:history="1">
        <w:r>
          <w:pict>
            <v:shape id="_x0000_i1029"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Campbell v. Acuff-Rose Music, Inc., 510 U.S. 569 (1994)</w:t>
        </w:r>
      </w:hyperlink>
      <w:r>
        <w:rPr>
          <w:rFonts w:ascii="Arial" w:eastAsia="Times New Roman" w:hAnsi="Arial" w:cs="Arial"/>
          <w:b w:val="0"/>
          <w:i w:val="0"/>
          <w:strike w:val="0"/>
          <w:color w:val="1D1D1D"/>
          <w:u w:val="none"/>
        </w:rPr>
        <w:t xml:space="preserve">. The Court specifically noted that fair use protection applies "whether the comment makes some erudite point appreciated mainly by students of literature or a more prosaic point of interest to average television viewers" </w:t>
      </w:r>
      <w:hyperlink r:id="rId4" w:history="1">
        <w:r>
          <w:pict>
            <v:shape id="_x0000_i1030"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Campbell v. Acuff-Rose Music, Inc., 510 U.S. 569 (1994)</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Ninth Circuit in </w:t>
      </w:r>
      <w:r>
        <w:rPr>
          <w:rFonts w:ascii="Arial" w:eastAsia="Times New Roman" w:hAnsi="Arial" w:cs="Arial"/>
          <w:b w:val="0"/>
          <w:i/>
          <w:strike w:val="0"/>
          <w:color w:val="1D1D1D"/>
          <w:u w:val="none"/>
        </w:rPr>
        <w:t>Narell v. Freeman</w:t>
      </w:r>
      <w:r>
        <w:rPr>
          <w:rFonts w:ascii="Arial" w:eastAsia="Times New Roman" w:hAnsi="Arial" w:cs="Arial"/>
          <w:b w:val="0"/>
          <w:i w:val="0"/>
          <w:strike w:val="0"/>
          <w:color w:val="1D1D1D"/>
          <w:u w:val="none"/>
        </w:rPr>
        <w:t xml:space="preserve"> reinforced this principle in the historical context, holding that "the scope of permissible fair use is greater with an informational work than with a creative work" </w:t>
      </w:r>
      <w:hyperlink r:id="rId9" w:history="1">
        <w:r>
          <w:pict>
            <v:shape id="_x0000_i1031"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0" w:history="1">
        <w:r>
          <w:rPr>
            <w:rStyle w:val="Hyperlink"/>
            <w:rFonts w:ascii="Arial" w:eastAsia="Times New Roman" w:hAnsi="Arial" w:cs="Arial"/>
            <w:b w:val="0"/>
            <w:i w:val="0"/>
            <w:strike w:val="0"/>
            <w:color w:val="467886"/>
            <w:u w:val="none"/>
          </w:rPr>
          <w:t>Narell v. Freeman, 872 F.2d 907 (1989)</w:t>
        </w:r>
      </w:hyperlink>
      <w:r>
        <w:rPr>
          <w:rFonts w:ascii="Arial" w:eastAsia="Times New Roman" w:hAnsi="Arial" w:cs="Arial"/>
          <w:b w:val="0"/>
          <w:i w:val="0"/>
          <w:strike w:val="0"/>
          <w:color w:val="1D1D1D"/>
          <w:u w:val="none"/>
        </w:rPr>
        <w:t>. Courts have recognized that correcting historical inaccuracies serves the fundamental copyright purpose of promoting knowledge and learning.</w:t>
        <w:br/>
      </w:r>
    </w:p>
    <w:p>
      <w:pPr>
        <w:pStyle w:val="Heading3"/>
        <w:rPr>
          <w:b w:val="0"/>
          <w:i w:val="0"/>
          <w:strike w:val="0"/>
        </w:rPr>
      </w:pPr>
      <w:r>
        <w:rPr>
          <w:b/>
          <w:u w:val="none"/>
        </w:rPr>
        <w:t>Teaching: Beyond Classroom Distribution</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"teaching" category extends far beyond traditional classroom distribution. In </w:t>
      </w:r>
      <w:r>
        <w:rPr>
          <w:rFonts w:ascii="Arial" w:eastAsia="Times New Roman" w:hAnsi="Arial" w:cs="Arial"/>
          <w:b w:val="0"/>
          <w:i/>
          <w:strike w:val="0"/>
          <w:color w:val="1D1D1D"/>
          <w:u w:val="none"/>
        </w:rPr>
        <w:t>Cambridge University Press v. Patton</w:t>
      </w:r>
      <w:r>
        <w:rPr>
          <w:rFonts w:ascii="Arial" w:eastAsia="Times New Roman" w:hAnsi="Arial" w:cs="Arial"/>
          <w:b w:val="0"/>
          <w:i w:val="0"/>
          <w:strike w:val="0"/>
          <w:color w:val="1D1D1D"/>
          <w:u w:val="none"/>
        </w:rPr>
        <w:t xml:space="preserve">, the Eleventh Circuit noted that Congress "devoted extensive effort to ensure that fair use would allow for educational copying under the proper circumstances" and "amended the text of § 107 at the eleventh hour in order to expressly state it" </w:t>
      </w:r>
      <w:hyperlink r:id="rId11" w:history="1">
        <w:r>
          <w:pict>
            <v:shape id="_x0000_i1032"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2" w:history="1">
        <w:r>
          <w:rPr>
            <w:rStyle w:val="Hyperlink"/>
            <w:rFonts w:ascii="Arial" w:eastAsia="Times New Roman" w:hAnsi="Arial" w:cs="Arial"/>
            <w:b w:val="0"/>
            <w:i w:val="0"/>
            <w:strike w:val="0"/>
            <w:color w:val="467886"/>
            <w:u w:val="none"/>
          </w:rPr>
          <w:t>Cambridge University Press v. Patton, 769 F.3d 1232 (2014)</w:t>
        </w:r>
      </w:hyperlink>
      <w:r>
        <w:rPr>
          <w:rFonts w:ascii="Arial" w:eastAsia="Times New Roman" w:hAnsi="Arial" w:cs="Arial"/>
          <w:b w:val="0"/>
          <w:i w:val="0"/>
          <w:strike w:val="0"/>
          <w:color w:val="1D1D1D"/>
          <w:u w:val="none"/>
        </w:rPr>
        <w:t xml:space="preserve">. The court held that "use for teaching purposes by a nonprofit, educational institution favors a finding of fair use under the first factor, despite the nontransformative nature of the use" </w:t>
      </w:r>
      <w:hyperlink r:id="rId11" w:history="1">
        <w:r>
          <w:pict>
            <v:shape id="_x0000_i1033"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2" w:history="1">
        <w:r>
          <w:rPr>
            <w:rStyle w:val="Hyperlink"/>
            <w:rFonts w:ascii="Arial" w:eastAsia="Times New Roman" w:hAnsi="Arial" w:cs="Arial"/>
            <w:b w:val="0"/>
            <w:i w:val="0"/>
            <w:strike w:val="0"/>
            <w:color w:val="467886"/>
            <w:u w:val="none"/>
          </w:rPr>
          <w:t>Cambridge University Press v. Patton, 769 F.3d 1232 (2014)</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Federal courts have established a "strong presumption that factor one favors the defendant if the allegedly infringing work fits the description of uses described in § 107" </w:t>
      </w:r>
      <w:hyperlink r:id="rId13" w:history="1">
        <w:r>
          <w:pict>
            <v:shape id="_x0000_i1034"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4" w:history="1">
        <w:r>
          <w:rPr>
            <w:rStyle w:val="Hyperlink"/>
            <w:rFonts w:ascii="Arial" w:eastAsia="Times New Roman" w:hAnsi="Arial" w:cs="Arial"/>
            <w:b w:val="0"/>
            <w:i w:val="0"/>
            <w:strike w:val="0"/>
            <w:color w:val="467886"/>
            <w:u w:val="none"/>
          </w:rPr>
          <w:t>Rubin v. Brooks/Cole Pub. Co., 836 F.Supp. 909 (1993)</w:t>
        </w:r>
      </w:hyperlink>
      <w:r>
        <w:rPr>
          <w:rFonts w:ascii="Arial" w:eastAsia="Times New Roman" w:hAnsi="Arial" w:cs="Arial"/>
          <w:b w:val="0"/>
          <w:i w:val="0"/>
          <w:strike w:val="0"/>
          <w:color w:val="1D1D1D"/>
          <w:u w:val="none"/>
        </w:rPr>
        <w:t xml:space="preserve">. Scholarly works that correct historical inaccuracies "fit comfortably within several of the statutory categories of uses that Congress has indicated may be fair—criticism, scholarship, and research" and "further the goals of the copyright laws by adding value to prior intellectual labor" </w:t>
      </w:r>
      <w:hyperlink r:id="rId13" w:history="1">
        <w:r>
          <w:pict>
            <v:shape id="_x0000_i1035"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4" w:history="1">
        <w:r>
          <w:rPr>
            <w:rStyle w:val="Hyperlink"/>
            <w:rFonts w:ascii="Arial" w:eastAsia="Times New Roman" w:hAnsi="Arial" w:cs="Arial"/>
            <w:b w:val="0"/>
            <w:i w:val="0"/>
            <w:strike w:val="0"/>
            <w:color w:val="467886"/>
            <w:u w:val="none"/>
          </w:rPr>
          <w:t>Rubin v. Brooks/Cole Pub. Co., 836 F.Supp. 909 (1993)</w:t>
        </w:r>
      </w:hyperlink>
      <w:r>
        <w:rPr>
          <w:rFonts w:ascii="Arial" w:eastAsia="Times New Roman" w:hAnsi="Arial" w:cs="Arial"/>
          <w:b w:val="0"/>
          <w:i w:val="0"/>
          <w:strike w:val="0"/>
          <w:color w:val="1D1D1D"/>
          <w:u w:val="none"/>
        </w:rPr>
        <w:t>.</w:t>
        <w:br/>
      </w:r>
    </w:p>
    <w:p>
      <w:pPr>
        <w:pStyle w:val="Heading3"/>
        <w:rPr>
          <w:b w:val="0"/>
          <w:i w:val="0"/>
          <w:strike w:val="0"/>
        </w:rPr>
      </w:pPr>
      <w:r>
        <w:rPr>
          <w:b/>
          <w:u w:val="none"/>
        </w:rPr>
        <w:t>Derivative Works and Fair Use Compatibility</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Second Circuit's decision in </w:t>
      </w:r>
      <w:r>
        <w:rPr>
          <w:rFonts w:ascii="Arial" w:eastAsia="Times New Roman" w:hAnsi="Arial" w:cs="Arial"/>
          <w:b w:val="0"/>
          <w:i/>
          <w:strike w:val="0"/>
          <w:color w:val="1D1D1D"/>
          <w:u w:val="none"/>
        </w:rPr>
        <w:t>Keeling v. Hars</w:t>
      </w:r>
      <w:r>
        <w:rPr>
          <w:rFonts w:ascii="Arial" w:eastAsia="Times New Roman" w:hAnsi="Arial" w:cs="Arial"/>
          <w:b w:val="0"/>
          <w:i w:val="0"/>
          <w:strike w:val="0"/>
          <w:color w:val="1D1D1D"/>
          <w:u w:val="none"/>
        </w:rPr>
        <w:t xml:space="preserve"> definitively resolved whether works can be both derivative and qualify for fair use criticism or teaching. The court held that "derivative works and fair use are discrete legal categories" where "a derivative work involves a transformation to the work's form" while "fair use involves a transformation of the work's purpose and character" </w:t>
      </w:r>
      <w:hyperlink r:id="rId15" w:history="1">
        <w:r>
          <w:pict>
            <v:shape id="_x0000_i1036"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6" w:history="1">
        <w:r>
          <w:rPr>
            <w:rStyle w:val="Hyperlink"/>
            <w:rFonts w:ascii="Arial" w:eastAsia="Times New Roman" w:hAnsi="Arial" w:cs="Arial"/>
            <w:b w:val="0"/>
            <w:i w:val="0"/>
            <w:strike w:val="0"/>
            <w:color w:val="467886"/>
            <w:u w:val="none"/>
          </w:rPr>
          <w:t>Keeling v. Hars, 809 F.3d 43 (2015)</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Crucially, the court established that a work can be "both—it involves the dramatization of a motion picture, making it a derivative work, and it involves a transformation of the motion picture's character from serious to parody, making it non-infringing fair use" </w:t>
      </w:r>
      <w:hyperlink r:id="rId15" w:history="1">
        <w:r>
          <w:pict>
            <v:shape id="_x0000_i1037"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6" w:history="1">
        <w:r>
          <w:rPr>
            <w:rStyle w:val="Hyperlink"/>
            <w:rFonts w:ascii="Arial" w:eastAsia="Times New Roman" w:hAnsi="Arial" w:cs="Arial"/>
            <w:b w:val="0"/>
            <w:i w:val="0"/>
            <w:strike w:val="0"/>
            <w:color w:val="467886"/>
            <w:u w:val="none"/>
          </w:rPr>
          <w:t>Keeling v. Hars, 809 F.3d 43 (2015)</w:t>
        </w:r>
      </w:hyperlink>
      <w:r>
        <w:rPr>
          <w:rFonts w:ascii="Arial" w:eastAsia="Times New Roman" w:hAnsi="Arial" w:cs="Arial"/>
          <w:b w:val="0"/>
          <w:i w:val="0"/>
          <w:strike w:val="0"/>
          <w:color w:val="1D1D1D"/>
          <w:u w:val="none"/>
        </w:rPr>
        <w:t>. This precedent demonstrates that derivative status does not preclude fair use analysis under Factor 1, particularly when the work serves critical or educational purposes.</w:t>
        <w:br/>
      </w:r>
    </w:p>
    <w:p>
      <w:pPr>
        <w:pStyle w:val="Heading3"/>
        <w:rPr>
          <w:b w:val="0"/>
          <w:i w:val="0"/>
          <w:strike w:val="0"/>
        </w:rPr>
      </w:pPr>
      <w:r>
        <w:rPr>
          <w:b/>
          <w:u w:val="none"/>
        </w:rPr>
        <w:t>Historical Works and Fair Use Protection</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Courts have shown particular solicitude for fair use involving historical correction. In </w:t>
      </w:r>
      <w:r>
        <w:rPr>
          <w:rFonts w:ascii="Arial" w:eastAsia="Times New Roman" w:hAnsi="Arial" w:cs="Arial"/>
          <w:b w:val="0"/>
          <w:i/>
          <w:strike w:val="0"/>
          <w:color w:val="1D1D1D"/>
          <w:u w:val="none"/>
        </w:rPr>
        <w:t>Red Label Music Publishing, Inc. v. Chila Productions</w:t>
      </w:r>
      <w:r>
        <w:rPr>
          <w:rFonts w:ascii="Arial" w:eastAsia="Times New Roman" w:hAnsi="Arial" w:cs="Arial"/>
          <w:b w:val="0"/>
          <w:i w:val="0"/>
          <w:strike w:val="0"/>
          <w:color w:val="1D1D1D"/>
          <w:u w:val="none"/>
        </w:rPr>
        <w:t xml:space="preserve">, the Northern District of Illinois noted that "fair use of copyrighted work protects filmmakers and documentarians from the inevitable chilling effects of allowing an artist too much control over the dissemination of his or her work for historical purposes" </w:t>
      </w:r>
      <w:hyperlink r:id="rId17" w:history="1">
        <w:r>
          <w:rPr>
            <w:rStyle w:val="Hyperlink"/>
            <w:rFonts w:ascii="Arial" w:eastAsia="Times New Roman" w:hAnsi="Arial" w:cs="Arial"/>
            <w:b w:val="0"/>
            <w:i w:val="0"/>
            <w:strike w:val="0"/>
            <w:color w:val="467886"/>
            <w:u w:val="none"/>
          </w:rPr>
          <w:t>Red Label Music Publishing, Inc. v. Chila Productions, 388 F.Supp.3d 975 (2019)</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w:t>
      </w:r>
      <w:r>
        <w:rPr>
          <w:rFonts w:ascii="Arial" w:eastAsia="Times New Roman" w:hAnsi="Arial" w:cs="Arial"/>
          <w:b w:val="0"/>
          <w:i/>
          <w:strike w:val="0"/>
          <w:color w:val="1D1D1D"/>
          <w:u w:val="none"/>
        </w:rPr>
        <w:t>Narell</w:t>
      </w:r>
      <w:r>
        <w:rPr>
          <w:rFonts w:ascii="Arial" w:eastAsia="Times New Roman" w:hAnsi="Arial" w:cs="Arial"/>
          <w:b w:val="0"/>
          <w:i w:val="0"/>
          <w:strike w:val="0"/>
          <w:color w:val="1D1D1D"/>
          <w:u w:val="none"/>
        </w:rPr>
        <w:t xml:space="preserve"> court specifically addressed historical accuracy, holding that an author's use of historical facts and phrases constituted fair use even in a commercial context, emphasizing that "published historical work is entitled only to the protection of the creative expression contained within it" </w:t>
      </w:r>
      <w:hyperlink r:id="rId9" w:history="1">
        <w:r>
          <w:pict>
            <v:shape id="_x0000_i1038"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0" w:history="1">
        <w:r>
          <w:rPr>
            <w:rStyle w:val="Hyperlink"/>
            <w:rFonts w:ascii="Arial" w:eastAsia="Times New Roman" w:hAnsi="Arial" w:cs="Arial"/>
            <w:b w:val="0"/>
            <w:i w:val="0"/>
            <w:strike w:val="0"/>
            <w:color w:val="467886"/>
            <w:u w:val="none"/>
          </w:rPr>
          <w:t>Narell v. Freeman, 872 F.2d 907 (1989)</w:t>
        </w:r>
      </w:hyperlink>
      <w:r>
        <w:rPr>
          <w:rFonts w:ascii="Arial" w:eastAsia="Times New Roman" w:hAnsi="Arial" w:cs="Arial"/>
          <w:b w:val="0"/>
          <w:i w:val="0"/>
          <w:strike w:val="0"/>
          <w:color w:val="1D1D1D"/>
          <w:u w:val="none"/>
        </w:rPr>
        <w:t>.</w:t>
      </w:r>
    </w:p>
    <w:p w:rsidR="000911FB" w:rsidRPr="00E5063B" w:rsidP="000911FB" w14:paraId="5F10F1E7" w14:textId="77777777">
      <w:pPr>
        <w:pStyle w:val="Report-Body"/>
      </w:pPr>
    </w:p>
    <w:p>
      <w:pPr>
        <w:pStyle w:val="Heading3"/>
        <w:rPr>
          <w:b w:val="0"/>
          <w:i w:val="0"/>
          <w:strike w:val="0"/>
        </w:rPr>
      </w:pPr>
      <w:r>
        <w:rPr>
          <w:b/>
          <w:u w:val="none"/>
        </w:rPr>
        <w:t>Commentary on This Question</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fair use doctrine under 17 U.S.C. § 107 exempts uses such as criticism, comment, and teaching, but the statutory list is illustrative, not exhaustive. Courts assess fair use on a case-by-case basis, focusing on whether the secondary use serves a purpose or character different from the original work. Criticism can involve substantive correction or commentary that provides new information about the original, but mere addition of new expression, meaning, or aesthetic does not automatically qualify as transformative or fair use. Rather, the transformative use inquiry requires that the secondary work convey a distinct purpose, such as commentary or criticism, separate from the original. Subjective intent is less important than the objective perception of the secondary use’s purpose. Uses that merely repurpose or “recast” the original work may be derivative, which remains within the copyright holder’s exclusive rights, and are not excused by fair use solely due to added new meaning or message. For example, adaptations or sequels are derivative despite transformation in meaning or aesthetics. Moreover, transformative uses that are commercial in nature are weighed carefully but their commercial status is not dispositive. Teaching extends beyond classroom distribution, encompassing nonprofit educational purposes broadly recognized in fair use analysis </w:t>
      </w:r>
      <w:hyperlink r:id="rId18" w:history="1">
        <w:r>
          <w:rPr>
            <w:rStyle w:val="Hyperlink"/>
            <w:rFonts w:ascii="Arial" w:eastAsia="Times New Roman" w:hAnsi="Arial" w:cs="Arial"/>
            <w:b w:val="0"/>
            <w:i w:val="0"/>
            <w:strike w:val="0"/>
            <w:color w:val="467886"/>
            <w:u w:val="none"/>
          </w:rPr>
          <w:t>PATRYCOPY § 10:35.30</w:t>
        </w:r>
      </w:hyperlink>
      <w:r>
        <w:rPr>
          <w:rFonts w:ascii="Arial" w:eastAsia="Times New Roman" w:hAnsi="Arial" w:cs="Arial"/>
          <w:b w:val="0"/>
          <w:i w:val="0"/>
          <w:strike w:val="0"/>
          <w:color w:val="1D1D1D"/>
          <w:u w:val="none"/>
        </w:rPr>
        <w:t xml:space="preserve">, </w:t>
      </w:r>
      <w:hyperlink r:id="rId19" w:history="1">
        <w:r>
          <w:rPr>
            <w:rStyle w:val="Hyperlink"/>
            <w:rFonts w:ascii="Arial" w:eastAsia="Times New Roman" w:hAnsi="Arial" w:cs="Arial"/>
            <w:b w:val="0"/>
            <w:i w:val="0"/>
            <w:strike w:val="0"/>
            <w:color w:val="467886"/>
            <w:u w:val="none"/>
          </w:rPr>
          <w:t>COPYWORLD § 41:22</w:t>
        </w:r>
      </w:hyperlink>
      <w:r>
        <w:rPr>
          <w:rFonts w:ascii="Arial" w:eastAsia="Times New Roman" w:hAnsi="Arial" w:cs="Arial"/>
          <w:b w:val="0"/>
          <w:i w:val="0"/>
          <w:strike w:val="0"/>
          <w:color w:val="1D1D1D"/>
          <w:u w:val="none"/>
        </w:rPr>
        <w:t xml:space="preserve">, </w:t>
      </w:r>
      <w:hyperlink r:id="rId20" w:history="1">
        <w:r>
          <w:rPr>
            <w:rStyle w:val="Hyperlink"/>
            <w:rFonts w:ascii="Arial" w:eastAsia="Times New Roman" w:hAnsi="Arial" w:cs="Arial"/>
            <w:b w:val="0"/>
            <w:i w:val="0"/>
            <w:strike w:val="0"/>
            <w:color w:val="467886"/>
            <w:u w:val="none"/>
          </w:rPr>
          <w:t>LINDEY3D § 2:11</w:t>
        </w:r>
      </w:hyperlink>
      <w:r>
        <w:rPr>
          <w:rFonts w:ascii="Arial" w:eastAsia="Times New Roman" w:hAnsi="Arial" w:cs="Arial"/>
          <w:b w:val="0"/>
          <w:i w:val="0"/>
          <w:strike w:val="0"/>
          <w:color w:val="1D1D1D"/>
          <w:u w:val="none"/>
        </w:rPr>
        <w:t xml:space="preserve">, </w:t>
      </w:r>
      <w:hyperlink r:id="rId21" w:history="1">
        <w:r>
          <w:rPr>
            <w:rStyle w:val="Hyperlink"/>
            <w:rFonts w:ascii="Arial" w:eastAsia="Times New Roman" w:hAnsi="Arial" w:cs="Arial"/>
            <w:b w:val="0"/>
            <w:i w:val="0"/>
            <w:strike w:val="0"/>
            <w:color w:val="467886"/>
            <w:u w:val="none"/>
          </w:rPr>
          <w:t>INTERNET § 12:17</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distinction between derivative works and transformative uses is critical, as the former does not favor fair use simply by incorporating new expression or message; a work can be both derivative and educational or critical but the latter depends on an objective demonstration of a new and distinct purpose beyond that of the original. The Supreme Court’s recent Andy Warhol Foundation v. Goldsmith decision underscores that new meaning or message alone does not suffice to favor fair use under the first factor and that derivative works remain protected exclusively under copyright law. This analysis reflects a refined approach narrowing transformation, limiting the scope of fair use, and emphasizing an objective inquiry over subjective intent </w:t>
      </w:r>
      <w:hyperlink r:id="rId22" w:history="1">
        <w:r>
          <w:rPr>
            <w:rStyle w:val="Hyperlink"/>
            <w:rFonts w:ascii="Arial" w:eastAsia="Times New Roman" w:hAnsi="Arial" w:cs="Arial"/>
            <w:b w:val="0"/>
            <w:i w:val="0"/>
            <w:strike w:val="0"/>
            <w:color w:val="467886"/>
            <w:u w:val="none"/>
          </w:rPr>
          <w:t>PATRYFAIR § 3:27.10</w:t>
        </w:r>
      </w:hyperlink>
      <w:r>
        <w:rPr>
          <w:rFonts w:ascii="Arial" w:eastAsia="Times New Roman" w:hAnsi="Arial" w:cs="Arial"/>
          <w:b w:val="0"/>
          <w:i w:val="0"/>
          <w:strike w:val="0"/>
          <w:color w:val="1D1D1D"/>
          <w:u w:val="none"/>
        </w:rPr>
        <w:t xml:space="preserve">, </w:t>
      </w:r>
      <w:hyperlink r:id="rId20" w:history="1">
        <w:r>
          <w:rPr>
            <w:rStyle w:val="Hyperlink"/>
            <w:rFonts w:ascii="Arial" w:eastAsia="Times New Roman" w:hAnsi="Arial" w:cs="Arial"/>
            <w:b w:val="0"/>
            <w:i w:val="0"/>
            <w:strike w:val="0"/>
            <w:color w:val="467886"/>
            <w:u w:val="none"/>
          </w:rPr>
          <w:t>LINDEY3D § 2:11</w:t>
        </w:r>
      </w:hyperlink>
      <w:r>
        <w:rPr>
          <w:rFonts w:ascii="Arial" w:eastAsia="Times New Roman" w:hAnsi="Arial" w:cs="Arial"/>
          <w:b w:val="0"/>
          <w:i w:val="0"/>
          <w:strike w:val="0"/>
          <w:color w:val="1D1D1D"/>
          <w:u w:val="none"/>
        </w:rPr>
        <w:t xml:space="preserve">, </w:t>
      </w:r>
      <w:hyperlink r:id="rId23" w:history="1">
        <w:r>
          <w:rPr>
            <w:rStyle w:val="Hyperlink"/>
            <w:rFonts w:ascii="Arial" w:eastAsia="Times New Roman" w:hAnsi="Arial" w:cs="Arial"/>
            <w:b w:val="0"/>
            <w:i w:val="0"/>
            <w:strike w:val="0"/>
            <w:color w:val="467886"/>
            <w:u w:val="none"/>
          </w:rPr>
          <w:t>COPYLAW § 15:59</w:t>
        </w:r>
      </w:hyperlink>
      <w:r>
        <w:rPr>
          <w:rFonts w:ascii="Arial" w:eastAsia="Times New Roman" w:hAnsi="Arial" w:cs="Arial"/>
          <w:b w:val="0"/>
          <w:i w:val="0"/>
          <w:strike w:val="0"/>
          <w:color w:val="1D1D1D"/>
          <w:u w:val="none"/>
        </w:rPr>
        <w:t>.</w:t>
        <w:br/>
      </w:r>
    </w:p>
    <w:p w:rsidR="000911FB" w:rsidRPr="000F6139" w:rsidP="000911FB" w14:paraId="1C1F8CE1" w14:textId="40E81E35">
      <w:pPr>
        <w:pStyle w:val="Report-Body"/>
        <w:rPr>
          <w:i/>
          <w:iCs/>
          <w:color w:val="626262"/>
        </w:rPr>
      </w:pPr>
      <w:r>
        <w:rPr>
          <w:b w:val="0"/>
          <w:i/>
          <w:strike w:val="0"/>
          <w:color w:val="626262"/>
        </w:rPr>
        <w:t>Generated by AI. Not legal or tax advice. A qualified professional must verify accuracy and legal compliance.</w:t>
      </w:r>
    </w:p>
    <w:p w:rsidR="000911FB" w:rsidRPr="00E5063B" w:rsidP="000911FB" w14:paraId="016C5B73" w14:textId="5B4649AF">
      <w:pPr>
        <w:pStyle w:val="Report-Body"/>
      </w:pPr>
    </w:p>
    <w:p w:rsidR="000911FB" w:rsidP="00EC22E0" w14:paraId="6971FCAF" w14:textId="1A7F0E9B">
      <w:pPr>
        <w:spacing w:before="113" w:after="113"/>
        <w:rPr>
          <w:rFonts w:eastAsiaTheme="minorEastAsia"/>
          <w:b/>
        </w:rPr>
      </w:pPr>
    </w:p>
    <w:p w:rsidR="000911FB" w:rsidP="000911FB" w14:paraId="54F7B823" w14:textId="77777777">
      <w:pPr>
        <w:pStyle w:val="Report-Heading"/>
        <w:rPr>
          <w:rFonts w:eastAsiaTheme="majorEastAsia"/>
        </w:rPr>
      </w:pPr>
      <w:r>
        <w:rPr>
          <w:noProof/>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283253753"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39" style="mso-wrap-distance-bottom:0;mso-wrap-distance-left:9pt;mso-wrap-distance-right:9pt;mso-wrap-distance-top:0;mso-wrap-style:square;position:absolute;visibility:visible;z-index:251659264" from="0,0.95pt" to="465pt,0.95pt" strokecolor="black" strokeweight="1.5pt">
                <v:stroke joinstyle="miter"/>
              </v:line>
            </w:pict>
          </mc:Fallback>
        </mc:AlternateContent>
      </w:r>
    </w:p>
    <w:p w:rsidR="000911FB" w:rsidP="000911FB" w14:paraId="3E600C81" w14:textId="77777777">
      <w:pPr>
        <w:pStyle w:val="Report-Heading"/>
      </w:pPr>
      <w:r w:rsidRPr="00956E15">
        <w:rPr>
          <w:rFonts w:eastAsiaTheme="majorEastAsia"/>
        </w:rPr>
        <w:t>Sources (</w:t>
      </w:r>
      <w:r>
        <w:rPr>
          <w:b w:val="0"/>
          <w:i w:val="0"/>
          <w:strike w:val="0"/>
        </w:rPr>
        <w:t>16</w:t>
      </w:r>
      <w:r w:rsidRPr="00956E15">
        <w:t>)</w:t>
      </w:r>
    </w:p>
    <w:p w:rsidR="000911FB" w:rsidRPr="00E5063B" w:rsidP="000911FB" w14:paraId="05CC7906" w14:textId="77777777">
      <w:pPr>
        <w:pStyle w:val="Report-Body"/>
      </w:pPr>
    </w:p>
    <w:p w:rsidR="000911FB" w:rsidP="000911FB" w14:paraId="3D36BA02" w14:textId="03D3B1FE">
      <w:pPr>
        <w:pStyle w:val="Report-Body"/>
      </w:pPr>
      <w:r>
        <w:rPr>
          <w:b/>
          <w:i w:val="0"/>
          <w:strike w:val="0"/>
        </w:rPr>
        <w:t>1</w:t>
      </w:r>
      <w:r w:rsidRPr="00755B14">
        <w:rPr>
          <w:b/>
          <w:bCs/>
        </w:rPr>
        <w:t>.</w:t>
      </w:r>
      <w:r>
        <w:t xml:space="preserve"> </w:t>
      </w:r>
      <w:hyperlink r:id="rId4" w:history="1">
        <w:r>
          <w:pict>
            <v:shape id="_x0000_i1040" type="#_x0000_t75" alt="KeyCite Yellow Flag" style="width:16pt;height:16pt">
              <v:imagedata r:id="rId5" o:title=""/>
            </v:shape>
          </w:pict>
        </w:r>
      </w:hyperlink>
      <w:r>
        <w:t xml:space="preserve"> </w:t>
      </w:r>
      <w:hyperlink r:id="rId6" w:history="1">
        <w:r>
          <w:rPr>
            <w:rStyle w:val="Hyperlink"/>
            <w:b/>
            <w:i w:val="0"/>
            <w:strike w:val="0"/>
            <w:color w:val="467886"/>
            <w:u w:val="single"/>
          </w:rPr>
          <w:t>Campbell v. Acuff-Rose Music, Inc.</w:t>
        </w:r>
      </w:hyperlink>
    </w:p>
    <w:p w:rsidR="000911FB" w:rsidRPr="00C67A9D" w:rsidP="000911FB" w14:paraId="778AA143" w14:textId="43CA2655">
      <w:pPr>
        <w:pStyle w:val="Report-Metadata"/>
        <w:rPr>
          <w:b w:val="0"/>
          <w:bCs w:val="0"/>
        </w:rPr>
      </w:pPr>
      <w:r>
        <w:rPr>
          <w:b/>
          <w:i w:val="0"/>
          <w:strike w:val="0"/>
        </w:rPr>
        <w:t>Supreme Court of the United States</w:t>
      </w:r>
      <w:r w:rsidRPr="00C67A9D">
        <w:rPr>
          <w:b w:val="0"/>
          <w:bCs w:val="0"/>
        </w:rPr>
        <w:t xml:space="preserve">   •   </w:t>
      </w:r>
      <w:r>
        <w:rPr>
          <w:b/>
          <w:i w:val="0"/>
          <w:strike w:val="0"/>
        </w:rPr>
        <w:t>March 07, 1994</w:t>
      </w:r>
      <w:r w:rsidRPr="00C67A9D">
        <w:rPr>
          <w:b w:val="0"/>
          <w:bCs w:val="0"/>
        </w:rPr>
        <w:t xml:space="preserve">   •   </w:t>
      </w:r>
      <w:r>
        <w:rPr>
          <w:b/>
          <w:i w:val="0"/>
          <w:strike w:val="0"/>
        </w:rPr>
        <w:t>510 U.S. 569</w:t>
      </w:r>
      <w:r w:rsidRPr="00C67A9D">
        <w:rPr>
          <w:b w:val="0"/>
          <w:bCs w:val="0"/>
        </w:rPr>
        <w:t xml:space="preserve">   •   </w:t>
      </w:r>
      <w:r>
        <w:rPr>
          <w:b/>
          <w:i w:val="0"/>
          <w:strike w:val="0"/>
        </w:rPr>
        <w:t>114 S.Ct. 1164</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that § 107 categories are illustrative, not exhaustive, and defining the scope of fair use criticism</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2</w:t>
      </w:r>
      <w:r w:rsidRPr="00755B14">
        <w:rPr>
          <w:b/>
          <w:bCs/>
        </w:rPr>
        <w:t>.</w:t>
      </w:r>
      <w:r>
        <w:t xml:space="preserve"> </w:t>
      </w:r>
      <w:hyperlink r:id="rId7" w:history="1">
        <w:r>
          <w:pict>
            <v:shape id="_x0000_i1041" type="#_x0000_t75" alt="KeyCite Yellow Flag" style="width:16pt;height:16pt">
              <v:imagedata r:id="rId5" o:title=""/>
            </v:shape>
          </w:pict>
        </w:r>
      </w:hyperlink>
      <w:r>
        <w:t xml:space="preserve"> </w:t>
      </w:r>
      <w:hyperlink r:id="rId8" w:history="1">
        <w:r>
          <w:rPr>
            <w:rStyle w:val="Hyperlink"/>
            <w:b/>
            <w:i w:val="0"/>
            <w:strike w:val="0"/>
            <w:color w:val="467886"/>
            <w:u w:val="single"/>
          </w:rPr>
          <w:t>Sega Enterprises Ltd. v. Accolade, Inc.</w:t>
        </w:r>
      </w:hyperlink>
    </w:p>
    <w:p w:rsidR="000911FB" w:rsidRPr="00C67A9D" w:rsidP="000911FB" w14:textId="43CA2655">
      <w:pPr>
        <w:pStyle w:val="Report-Metadata"/>
        <w:rPr>
          <w:b w:val="0"/>
          <w:bCs w:val="0"/>
        </w:rPr>
      </w:pPr>
      <w:r>
        <w:rPr>
          <w:b/>
          <w:i w:val="0"/>
          <w:strike w:val="0"/>
        </w:rPr>
        <w:t>United States Court of Appeals, Ninth Circuit.</w:t>
      </w:r>
      <w:r w:rsidRPr="00C67A9D">
        <w:rPr>
          <w:b w:val="0"/>
          <w:bCs w:val="0"/>
        </w:rPr>
        <w:t xml:space="preserve">   •   </w:t>
      </w:r>
      <w:r>
        <w:rPr>
          <w:b/>
          <w:i w:val="0"/>
          <w:strike w:val="0"/>
        </w:rPr>
        <w:t>October 20, 1992</w:t>
      </w:r>
      <w:r w:rsidRPr="00C67A9D">
        <w:rPr>
          <w:b w:val="0"/>
          <w:bCs w:val="0"/>
        </w:rPr>
        <w:t xml:space="preserve">   •   </w:t>
      </w:r>
      <w:r>
        <w:rPr>
          <w:b/>
          <w:i w:val="0"/>
          <w:strike w:val="0"/>
        </w:rPr>
        <w:t>977 F.2d 1510</w:t>
      </w:r>
      <w:r w:rsidRPr="00C67A9D">
        <w:rPr>
          <w:b w:val="0"/>
          <w:bCs w:val="0"/>
        </w:rPr>
        <w:t xml:space="preserve">   •   </w:t>
      </w:r>
      <w:r>
        <w:rPr>
          <w:b/>
          <w:i w:val="0"/>
          <w:strike w:val="0"/>
        </w:rPr>
        <w:t>1992 WL 293141</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Holding that purpose analysis requires assessment of extent to which use serves statutory categories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3</w:t>
      </w:r>
      <w:r w:rsidRPr="00755B14">
        <w:rPr>
          <w:b/>
          <w:bCs/>
        </w:rPr>
        <w:t>.</w:t>
      </w:r>
      <w:r>
        <w:t xml:space="preserve"> </w:t>
      </w:r>
      <w:hyperlink r:id="rId9" w:history="1">
        <w:r>
          <w:pict>
            <v:shape id="_x0000_i1042" type="#_x0000_t75" alt="KeyCite Yellow Flag" style="width:16pt;height:16pt">
              <v:imagedata r:id="rId5" o:title=""/>
            </v:shape>
          </w:pict>
        </w:r>
      </w:hyperlink>
      <w:r>
        <w:t xml:space="preserve"> </w:t>
      </w:r>
      <w:hyperlink r:id="rId10" w:history="1">
        <w:r>
          <w:rPr>
            <w:rStyle w:val="Hyperlink"/>
            <w:b/>
            <w:i w:val="0"/>
            <w:strike w:val="0"/>
            <w:color w:val="467886"/>
            <w:u w:val="single"/>
          </w:rPr>
          <w:t>Narell v. Freeman</w:t>
        </w:r>
      </w:hyperlink>
    </w:p>
    <w:p w:rsidR="000911FB" w:rsidRPr="00C67A9D" w:rsidP="000911FB" w14:textId="43CA2655">
      <w:pPr>
        <w:pStyle w:val="Report-Metadata"/>
        <w:rPr>
          <w:b w:val="0"/>
          <w:bCs w:val="0"/>
        </w:rPr>
      </w:pPr>
      <w:r>
        <w:rPr>
          <w:b/>
          <w:i w:val="0"/>
          <w:strike w:val="0"/>
        </w:rPr>
        <w:t>United States Court of Appeals, Ninth Circuit.</w:t>
      </w:r>
      <w:r w:rsidRPr="00C67A9D">
        <w:rPr>
          <w:b w:val="0"/>
          <w:bCs w:val="0"/>
        </w:rPr>
        <w:t xml:space="preserve">   •   </w:t>
      </w:r>
      <w:r>
        <w:rPr>
          <w:b/>
          <w:i w:val="0"/>
          <w:strike w:val="0"/>
        </w:rPr>
        <w:t>April 17, 1989</w:t>
      </w:r>
      <w:r w:rsidRPr="00C67A9D">
        <w:rPr>
          <w:b w:val="0"/>
          <w:bCs w:val="0"/>
        </w:rPr>
        <w:t xml:space="preserve">   •   </w:t>
      </w:r>
      <w:r>
        <w:rPr>
          <w:b/>
          <w:i w:val="0"/>
          <w:strike w:val="0"/>
        </w:rPr>
        <w:t>872 F.2d 907</w:t>
      </w:r>
      <w:r w:rsidRPr="00C67A9D">
        <w:rPr>
          <w:b w:val="0"/>
          <w:bCs w:val="0"/>
        </w:rPr>
        <w:t xml:space="preserve">   •   </w:t>
      </w:r>
      <w:r>
        <w:rPr>
          <w:b/>
          <w:i w:val="0"/>
          <w:strike w:val="0"/>
        </w:rPr>
        <w:t>1989 WL 35625</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Holding that historical works receive broader fair use protection and factual copying may constitute fair use</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...Published historical work is entitled only to the protection of the creative expression contained within it, and the scope of permissible fair use is greater with an informational work than with a creative work. 17 U.S.C.A. S 107....</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4</w:t>
      </w:r>
      <w:r w:rsidRPr="00755B14">
        <w:rPr>
          <w:b/>
          <w:bCs/>
        </w:rPr>
        <w:t>.</w:t>
      </w:r>
      <w:r>
        <w:t xml:space="preserve"> </w:t>
      </w:r>
      <w:hyperlink r:id="rId11" w:history="1">
        <w:r>
          <w:pict>
            <v:shape id="_x0000_i1043" type="#_x0000_t75" alt="KeyCite Yellow Flag" style="width:16pt;height:16pt">
              <v:imagedata r:id="rId5" o:title=""/>
            </v:shape>
          </w:pict>
        </w:r>
      </w:hyperlink>
      <w:r>
        <w:t xml:space="preserve"> </w:t>
      </w:r>
      <w:hyperlink r:id="rId12" w:history="1">
        <w:r>
          <w:rPr>
            <w:rStyle w:val="Hyperlink"/>
            <w:b/>
            <w:i w:val="0"/>
            <w:strike w:val="0"/>
            <w:color w:val="467886"/>
            <w:u w:val="single"/>
          </w:rPr>
          <w:t>Cambridge University Press v. Patton</w:t>
        </w:r>
      </w:hyperlink>
    </w:p>
    <w:p w:rsidR="000911FB" w:rsidRPr="00C67A9D" w:rsidP="000911FB" w14:textId="43CA2655">
      <w:pPr>
        <w:pStyle w:val="Report-Metadata"/>
        <w:rPr>
          <w:b w:val="0"/>
          <w:bCs w:val="0"/>
        </w:rPr>
      </w:pPr>
      <w:r>
        <w:rPr>
          <w:b/>
          <w:i w:val="0"/>
          <w:strike w:val="0"/>
        </w:rPr>
        <w:t>United States Court of Appeals, Eleventh Circuit.</w:t>
      </w:r>
      <w:r w:rsidRPr="00C67A9D">
        <w:rPr>
          <w:b w:val="0"/>
          <w:bCs w:val="0"/>
        </w:rPr>
        <w:t xml:space="preserve">   •   </w:t>
      </w:r>
      <w:r>
        <w:rPr>
          <w:b/>
          <w:i w:val="0"/>
          <w:strike w:val="0"/>
        </w:rPr>
        <w:t>October 17, 2014</w:t>
      </w:r>
      <w:r w:rsidRPr="00C67A9D">
        <w:rPr>
          <w:b w:val="0"/>
          <w:bCs w:val="0"/>
        </w:rPr>
        <w:t xml:space="preserve">   •   </w:t>
      </w:r>
      <w:r>
        <w:rPr>
          <w:b/>
          <w:i w:val="0"/>
          <w:strike w:val="0"/>
        </w:rPr>
        <w:t>769 F.3d 1232</w:t>
      </w:r>
      <w:r w:rsidRPr="00C67A9D">
        <w:rPr>
          <w:b w:val="0"/>
          <w:bCs w:val="0"/>
        </w:rPr>
        <w:t xml:space="preserve">   •   </w:t>
      </w:r>
      <w:r>
        <w:rPr>
          <w:b/>
          <w:i w:val="0"/>
          <w:strike w:val="0"/>
        </w:rPr>
        <w:t>2014 WL 5303007</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that teaching purposes favor fair use even without transformation</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...B. For example, the Fair Use Checklist provides that the "(n)onprofit (e)ducational" use of an excerpt favors a finding of fair use, whereas "(c)ommercial activity" weighs against a finding of fair use. Doc. 235-2, at 7. Use of a "(f)actual or nonfiction work" favors a finding of fair use, whereas use of a "(h)ighly creative work (art, music, novels, films, plays, poetry, fiction)" weighs against a finding of fair use. Id. at 8. Use of a "(s)mall portion" of a work favors a finding of fair use, whereas use of a "(l)arge portion or entire work"</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5</w:t>
      </w:r>
      <w:r w:rsidRPr="00755B14">
        <w:rPr>
          <w:b/>
          <w:bCs/>
        </w:rPr>
        <w:t>.</w:t>
      </w:r>
      <w:r>
        <w:t xml:space="preserve"> </w:t>
      </w:r>
      <w:hyperlink r:id="rId13" w:history="1">
        <w:r>
          <w:pict>
            <v:shape id="_x0000_i1044" type="#_x0000_t75" alt="KeyCite Yellow Flag" style="width:16pt;height:16pt">
              <v:imagedata r:id="rId5" o:title=""/>
            </v:shape>
          </w:pict>
        </w:r>
      </w:hyperlink>
      <w:r>
        <w:t xml:space="preserve"> </w:t>
      </w:r>
      <w:hyperlink r:id="rId14" w:history="1">
        <w:r>
          <w:rPr>
            <w:rStyle w:val="Hyperlink"/>
            <w:b/>
            <w:i w:val="0"/>
            <w:strike w:val="0"/>
            <w:color w:val="467886"/>
            <w:u w:val="single"/>
          </w:rPr>
          <w:t>Rubin v. Brooks/Cole Pub. Co.</w:t>
        </w:r>
      </w:hyperlink>
    </w:p>
    <w:p w:rsidR="000911FB" w:rsidRPr="00C67A9D" w:rsidP="000911FB" w14:textId="43CA2655">
      <w:pPr>
        <w:pStyle w:val="Report-Metadata"/>
        <w:rPr>
          <w:b w:val="0"/>
          <w:bCs w:val="0"/>
        </w:rPr>
      </w:pPr>
      <w:r>
        <w:rPr>
          <w:b/>
          <w:i w:val="0"/>
          <w:strike w:val="0"/>
        </w:rPr>
        <w:t>United States District Court, D. Massachusetts.</w:t>
      </w:r>
      <w:r w:rsidRPr="00C67A9D">
        <w:rPr>
          <w:b w:val="0"/>
          <w:bCs w:val="0"/>
        </w:rPr>
        <w:t xml:space="preserve">   •   </w:t>
      </w:r>
      <w:r>
        <w:rPr>
          <w:b/>
          <w:i w:val="0"/>
          <w:strike w:val="0"/>
        </w:rPr>
        <w:t>October 29, 1993</w:t>
      </w:r>
      <w:r w:rsidRPr="00C67A9D">
        <w:rPr>
          <w:b w:val="0"/>
          <w:bCs w:val="0"/>
        </w:rPr>
        <w:t xml:space="preserve">   •   </w:t>
      </w:r>
      <w:r>
        <w:rPr>
          <w:b/>
          <w:i w:val="0"/>
          <w:strike w:val="0"/>
        </w:rPr>
        <w:t>836 F.Supp. 909</w:t>
      </w:r>
      <w:r w:rsidRPr="00C67A9D">
        <w:rPr>
          <w:b w:val="0"/>
          <w:bCs w:val="0"/>
        </w:rPr>
        <w:t xml:space="preserve">   •   </w:t>
      </w:r>
      <w:r>
        <w:rPr>
          <w:b/>
          <w:i w:val="0"/>
          <w:strike w:val="0"/>
        </w:rPr>
        <w:t>1993 WL 484892</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Holding that scholarly works in statutory categories receive strong fair use presumption</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6</w:t>
      </w:r>
      <w:r w:rsidRPr="00755B14">
        <w:rPr>
          <w:b/>
          <w:bCs/>
        </w:rPr>
        <w:t>.</w:t>
      </w:r>
      <w:r>
        <w:t xml:space="preserve"> </w:t>
      </w:r>
      <w:hyperlink r:id="rId15" w:history="1">
        <w:r>
          <w:pict>
            <v:shape id="_x0000_i1045" type="#_x0000_t75" alt="KeyCite Yellow Flag" style="width:16pt;height:16pt">
              <v:imagedata r:id="rId5" o:title=""/>
            </v:shape>
          </w:pict>
        </w:r>
      </w:hyperlink>
      <w:r>
        <w:t xml:space="preserve"> </w:t>
      </w:r>
      <w:hyperlink r:id="rId16" w:history="1">
        <w:r>
          <w:rPr>
            <w:rStyle w:val="Hyperlink"/>
            <w:b/>
            <w:i w:val="0"/>
            <w:strike w:val="0"/>
            <w:color w:val="467886"/>
            <w:u w:val="single"/>
          </w:rPr>
          <w:t>Keeling v. Hars</w:t>
        </w:r>
      </w:hyperlink>
    </w:p>
    <w:p w:rsidR="000911FB" w:rsidRPr="00C67A9D" w:rsidP="000911FB" w14:textId="43CA2655">
      <w:pPr>
        <w:pStyle w:val="Report-Metadata"/>
        <w:rPr>
          <w:b w:val="0"/>
          <w:bCs w:val="0"/>
        </w:rPr>
      </w:pPr>
      <w:r>
        <w:rPr>
          <w:b/>
          <w:i w:val="0"/>
          <w:strike w:val="0"/>
        </w:rPr>
        <w:t>United States Court of Appeals, Second Circuit.</w:t>
      </w:r>
      <w:r w:rsidRPr="00C67A9D">
        <w:rPr>
          <w:b w:val="0"/>
          <w:bCs w:val="0"/>
        </w:rPr>
        <w:t xml:space="preserve">   •   </w:t>
      </w:r>
      <w:r>
        <w:rPr>
          <w:b/>
          <w:i w:val="0"/>
          <w:strike w:val="0"/>
        </w:rPr>
        <w:t>October 30, 2015</w:t>
      </w:r>
      <w:r w:rsidRPr="00C67A9D">
        <w:rPr>
          <w:b w:val="0"/>
          <w:bCs w:val="0"/>
        </w:rPr>
        <w:t xml:space="preserve">   •   </w:t>
      </w:r>
      <w:r>
        <w:rPr>
          <w:b/>
          <w:i w:val="0"/>
          <w:strike w:val="0"/>
        </w:rPr>
        <w:t>809 F.3d 43</w:t>
      </w:r>
      <w:r w:rsidRPr="00C67A9D">
        <w:rPr>
          <w:b w:val="0"/>
          <w:bCs w:val="0"/>
        </w:rPr>
        <w:t xml:space="preserve">   •   </w:t>
      </w:r>
      <w:r>
        <w:rPr>
          <w:b/>
          <w:i w:val="0"/>
          <w:strike w:val="0"/>
        </w:rPr>
        <w:t>2015 WL 6600571</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that works can be both derivative and qualify for fair use when transforming purpose and character</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 xml:space="preserve">...We note that, as a general matter, “derivative works” and “fair use” are discrete legal categories. Under the Copyright Act, a derivative work involves a transformation to the work's “form,” 17 U.S.C. § 101, while fair use involves a transformation of the work's “purpose and character,” 17 U.S.C. § 107. </w:t>
            </w:r>
            <w:r>
              <w:rPr>
                <w:rFonts w:ascii="Arial" w:eastAsia="Times New Roman" w:hAnsi="Arial" w:cs="Arial"/>
                <w:b w:val="0"/>
                <w:i/>
                <w:strike w:val="0"/>
                <w:color w:val="1D1D1D"/>
              </w:rPr>
              <w:t>PBL</w:t>
            </w:r>
            <w:r>
              <w:rPr>
                <w:rFonts w:ascii="Arial" w:eastAsia="Times New Roman" w:hAnsi="Arial" w:cs="Arial"/>
                <w:b w:val="0"/>
                <w:i w:val="0"/>
                <w:strike w:val="0"/>
                <w:color w:val="1D1D1D"/>
              </w:rPr>
              <w:t xml:space="preserve"> is both—it involves the dramatization of a motion picture, making it a derivative work, and it involves a transformation of the motion picture's character from serious to parody, making it non-infringing fair use....</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7</w:t>
      </w:r>
      <w:r w:rsidRPr="00755B14">
        <w:rPr>
          <w:b/>
          <w:bCs/>
        </w:rPr>
        <w:t>.</w:t>
      </w:r>
      <w:r>
        <w:t xml:space="preserve"> </w:t>
      </w:r>
      <w:r>
        <w:t xml:space="preserve"> </w:t>
      </w:r>
      <w:hyperlink r:id="rId17" w:history="1">
        <w:r>
          <w:rPr>
            <w:rStyle w:val="Hyperlink"/>
            <w:b/>
            <w:i w:val="0"/>
            <w:strike w:val="0"/>
            <w:color w:val="467886"/>
            <w:u w:val="single"/>
          </w:rPr>
          <w:t>Red Label Music Publishing, Inc. v. Chila Productions</w:t>
        </w:r>
      </w:hyperlink>
    </w:p>
    <w:p w:rsidR="000911FB" w:rsidRPr="00C67A9D" w:rsidP="000911FB" w14:textId="43CA2655">
      <w:pPr>
        <w:pStyle w:val="Report-Metadata"/>
        <w:rPr>
          <w:b w:val="0"/>
          <w:bCs w:val="0"/>
        </w:rPr>
      </w:pPr>
      <w:r>
        <w:rPr>
          <w:b/>
          <w:i w:val="0"/>
          <w:strike w:val="0"/>
        </w:rPr>
        <w:t>United States District Court, N.D. Illinois, Eastern Division.</w:t>
      </w:r>
      <w:r w:rsidRPr="00C67A9D">
        <w:rPr>
          <w:b w:val="0"/>
          <w:bCs w:val="0"/>
        </w:rPr>
        <w:t xml:space="preserve">   •   </w:t>
      </w:r>
      <w:r>
        <w:rPr>
          <w:b/>
          <w:i w:val="0"/>
          <w:strike w:val="0"/>
        </w:rPr>
        <w:t>May 30, 2019</w:t>
      </w:r>
      <w:r w:rsidRPr="00C67A9D">
        <w:rPr>
          <w:b w:val="0"/>
          <w:bCs w:val="0"/>
        </w:rPr>
        <w:t xml:space="preserve">   •   </w:t>
      </w:r>
      <w:r>
        <w:rPr>
          <w:b/>
          <w:i w:val="0"/>
          <w:strike w:val="0"/>
        </w:rPr>
        <w:t>388 F.Supp.3d 975</w:t>
      </w:r>
      <w:r w:rsidRPr="00C67A9D">
        <w:rPr>
          <w:b w:val="0"/>
          <w:bCs w:val="0"/>
        </w:rPr>
        <w:t xml:space="preserve">   •   </w:t>
      </w:r>
      <w:r>
        <w:rPr>
          <w:b/>
          <w:i w:val="0"/>
          <w:strike w:val="0"/>
        </w:rPr>
        <w:t>2019 WL 2297465</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Recognizing fair use protection for historical documentation and correction</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...Fair use of copyrighted work protects filmmakers and documentarians from the inevitable chilling effects of allowing an artist too much control over the dissemination of his or her work for historical purposes. 17 U.S.C.A. S 107....</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8</w:t>
      </w:r>
      <w:r w:rsidRPr="00755B14">
        <w:rPr>
          <w:b/>
          <w:bCs/>
        </w:rPr>
        <w:t>.</w:t>
      </w:r>
      <w:r>
        <w:t xml:space="preserve"> </w:t>
      </w:r>
      <w:r>
        <w:t xml:space="preserve"> </w:t>
      </w:r>
      <w:hyperlink r:id="rId18" w:history="1">
        <w:r>
          <w:rPr>
            <w:rStyle w:val="Hyperlink"/>
            <w:b/>
            <w:i w:val="0"/>
            <w:strike w:val="0"/>
            <w:color w:val="467886"/>
            <w:u w:val="single"/>
          </w:rPr>
          <w:t>§ 10:35.30. The Andy Warhol Foundation v. Goldsmith —The Meaning of Meaning</w:t>
        </w:r>
      </w:hyperlink>
    </w:p>
    <w:p w:rsidR="000911FB" w:rsidRPr="00C67A9D" w:rsidP="000911FB" w14:textId="43CA2655">
      <w:pPr>
        <w:pStyle w:val="Report-Metadata"/>
        <w:rPr>
          <w:b w:val="0"/>
          <w:bCs w:val="0"/>
        </w:rPr>
      </w:pPr>
      <w:r>
        <w:rPr>
          <w:b/>
          <w:i w:val="0"/>
          <w:strike w:val="0"/>
        </w:rPr>
        <w:t>Patry on Copyright</w:t>
      </w:r>
      <w:r w:rsidRPr="00C67A9D">
        <w:rPr>
          <w:b w:val="0"/>
          <w:bCs w:val="0"/>
        </w:rPr>
        <w:t xml:space="preserve">   •   </w:t>
      </w:r>
      <w:r>
        <w:rPr>
          <w:b/>
          <w:i w:val="0"/>
          <w:strike w:val="0"/>
        </w:rPr>
        <w:t>PATRYCOPY § 10:35.30</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...Justice Sotomayor then reviewed the court of appeals' approach to the question of meaning or message and in doing so directly rejected, for the Court, the subjective meaning approach argued by the Andy Warhol Foundation (“AWF”) and its allies:What role meaning or message played in the Court of Appeals' analysis here is not entirely clear. The court correctly rejected the idea “that any secondary work that adds a new aesthetic or new expression to its source material is necessarily transformative.” 11 F. 4 th, at 38–39. It also appeared correctly</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...“Purpose” in the prologue to Section 107 denotes categories of potentially eligible secondary works (emphasis added):the fair use of a copyrighted work, including such use by reproduction in copies or phonorecords or by any other means specified by that section, for purposes such as criticism, comment, news reporting, teaching (including multiple copies for classroom use), scholarship, or research, is not an infringement of copyright....</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9</w:t>
      </w:r>
      <w:r w:rsidRPr="00755B14">
        <w:rPr>
          <w:b/>
          <w:bCs/>
        </w:rPr>
        <w:t>.</w:t>
      </w:r>
      <w:r>
        <w:t xml:space="preserve"> </w:t>
      </w:r>
      <w:r>
        <w:t xml:space="preserve"> </w:t>
      </w:r>
      <w:hyperlink r:id="rId19" w:history="1">
        <w:r>
          <w:rPr>
            <w:rStyle w:val="Hyperlink"/>
            <w:b/>
            <w:i w:val="0"/>
            <w:strike w:val="0"/>
            <w:color w:val="467886"/>
            <w:u w:val="single"/>
          </w:rPr>
          <w:t>§ 41:22. The individual limitations, exceptions, and compulsory licenses</w:t>
        </w:r>
      </w:hyperlink>
    </w:p>
    <w:p w:rsidR="000911FB" w:rsidRPr="00C67A9D" w:rsidP="000911FB" w14:textId="43CA2655">
      <w:pPr>
        <w:pStyle w:val="Report-Metadata"/>
        <w:rPr>
          <w:b w:val="0"/>
          <w:bCs w:val="0"/>
        </w:rPr>
      </w:pPr>
      <w:r>
        <w:rPr>
          <w:b/>
          <w:i w:val="0"/>
          <w:strike w:val="0"/>
        </w:rPr>
        <w:t>Copyright Throughout the World</w:t>
      </w:r>
      <w:r w:rsidRPr="00C67A9D">
        <w:rPr>
          <w:b w:val="0"/>
          <w:bCs w:val="0"/>
        </w:rPr>
        <w:t xml:space="preserve">   •   </w:t>
      </w:r>
      <w:r>
        <w:rPr>
          <w:b/>
          <w:i w:val="0"/>
          <w:strike w:val="0"/>
        </w:rPr>
        <w:t>COPYWORLD § 41:22</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...Section 107 provides that fair use “include[s] such use by reproduction in copies or phonorecords or by any other means … for purposes such as criticism, comment, news reporting, teaching (including multiple copies for classroom use), scholarship, or research ….”[11] These purposes are illustrative and not limiting, but they are “the sorts of copying that courts and Congress most commonly ha[ve] found to be fair uses.”[12]...</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10</w:t>
      </w:r>
      <w:r w:rsidRPr="00755B14">
        <w:rPr>
          <w:b/>
          <w:bCs/>
        </w:rPr>
        <w:t>.</w:t>
      </w:r>
      <w:r>
        <w:t xml:space="preserve"> </w:t>
      </w:r>
      <w:r>
        <w:t xml:space="preserve"> </w:t>
      </w:r>
      <w:hyperlink r:id="rId20" w:history="1">
        <w:r>
          <w:rPr>
            <w:rStyle w:val="Hyperlink"/>
            <w:b/>
            <w:i w:val="0"/>
            <w:strike w:val="0"/>
            <w:color w:val="467886"/>
            <w:u w:val="single"/>
          </w:rPr>
          <w:t>§ 2:11. “Derivative works,” “transformative works,” and “fair use” explained— Andy Warhol Foundation for the Visual Arts, Inc. v. Goldsmith</w:t>
        </w:r>
      </w:hyperlink>
    </w:p>
    <w:p w:rsidR="000911FB" w:rsidRPr="00C67A9D" w:rsidP="000911FB" w14:textId="43CA2655">
      <w:pPr>
        <w:pStyle w:val="Report-Metadata"/>
        <w:rPr>
          <w:b w:val="0"/>
          <w:bCs w:val="0"/>
        </w:rPr>
      </w:pPr>
      <w:r>
        <w:rPr>
          <w:b/>
          <w:i w:val="0"/>
          <w:strike w:val="0"/>
        </w:rPr>
        <w:t>Lindey on Entertainment, Publishing and the Arts, 3d</w:t>
      </w:r>
      <w:r w:rsidRPr="00C67A9D">
        <w:rPr>
          <w:b w:val="0"/>
          <w:bCs w:val="0"/>
        </w:rPr>
        <w:t xml:space="preserve">   •   </w:t>
      </w:r>
      <w:r>
        <w:rPr>
          <w:b/>
          <w:i w:val="0"/>
          <w:strike w:val="0"/>
        </w:rPr>
        <w:t>LINDEY3D § 2:11</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...We evaluate whether a work is transformative by examining how it may “reasonably be perceived.”[21] Paradigmatic examples of transformative uses are those Congress itself enumerated in the preamble to § 107: “criticism, comment, news reporting, teaching …, scholarship, or research.”[22] In adjudging the Prince photographs transformative, the district court relied chiefly on our decision in Cariou v. Prince, which we have previously described as the “high-water mark of our court's recognition of transformative works.”[23] And, as we have previously</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...We have repeatedly observed, there exists an entire class of secondary works that add “new expression, meaning, or message” to their source material but are nonetheless specifically excluded from the scope of fair use: derivative works. “As one of our sister circuits has observed, an overly liberal standard of transformativeness, such as that embraced by the district court in this case, risks crowding out statutory protections for derivative works.”[24] “Derivative works generally involve transformations in the nature of changes of form. While</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11</w:t>
      </w:r>
      <w:r w:rsidRPr="00755B14">
        <w:rPr>
          <w:b/>
          <w:bCs/>
        </w:rPr>
        <w:t>.</w:t>
      </w:r>
      <w:r>
        <w:t xml:space="preserve"> </w:t>
      </w:r>
      <w:r>
        <w:t xml:space="preserve"> </w:t>
      </w:r>
      <w:hyperlink r:id="rId21" w:history="1">
        <w:r>
          <w:rPr>
            <w:rStyle w:val="Hyperlink"/>
            <w:b/>
            <w:i w:val="0"/>
            <w:strike w:val="0"/>
            <w:color w:val="467886"/>
            <w:u w:val="single"/>
          </w:rPr>
          <w:t>§ 12:17. Fair use</w:t>
        </w:r>
      </w:hyperlink>
    </w:p>
    <w:p w:rsidR="000911FB" w:rsidRPr="00C67A9D" w:rsidP="000911FB" w14:textId="43CA2655">
      <w:pPr>
        <w:pStyle w:val="Report-Metadata"/>
        <w:rPr>
          <w:b w:val="0"/>
          <w:bCs w:val="0"/>
        </w:rPr>
      </w:pPr>
      <w:r>
        <w:rPr>
          <w:b/>
          <w:i w:val="0"/>
          <w:strike w:val="0"/>
        </w:rPr>
        <w:t>Internet Law and Practice</w:t>
      </w:r>
      <w:r w:rsidRPr="00C67A9D">
        <w:rPr>
          <w:b w:val="0"/>
          <w:bCs w:val="0"/>
        </w:rPr>
        <w:t xml:space="preserve">   •   </w:t>
      </w:r>
      <w:r>
        <w:rPr>
          <w:b/>
          <w:i w:val="0"/>
          <w:strike w:val="0"/>
        </w:rPr>
        <w:t>INTERNET § 12:17</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...2. Criticism, Comment, News Reporting, Teaching, Scholarship, or Research: Courts tend to favor as fair use those activities that fall into one of the purposes enumerated in the preamble to section 107 of the Copyright Act, as set forth above. A use that fits into one of these categories, however, would not necessarily be held a fair use if other factors weighed against it....</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12</w:t>
      </w:r>
      <w:r w:rsidRPr="00755B14">
        <w:rPr>
          <w:b/>
          <w:bCs/>
        </w:rPr>
        <w:t>.</w:t>
      </w:r>
      <w:r>
        <w:t xml:space="preserve"> </w:t>
      </w:r>
      <w:r>
        <w:t xml:space="preserve"> </w:t>
      </w:r>
      <w:hyperlink r:id="rId22" w:history="1">
        <w:r>
          <w:rPr>
            <w:rStyle w:val="Hyperlink"/>
            <w:b/>
            <w:i w:val="0"/>
            <w:strike w:val="0"/>
            <w:color w:val="467886"/>
            <w:u w:val="single"/>
          </w:rPr>
          <w:t>§ 3:27.10. The Andy Warhol Foundation v. Goldsmith —Meaning of meaning</w:t>
        </w:r>
      </w:hyperlink>
    </w:p>
    <w:p w:rsidR="000911FB" w:rsidRPr="00C67A9D" w:rsidP="000911FB" w14:textId="43CA2655">
      <w:pPr>
        <w:pStyle w:val="Report-Metadata"/>
        <w:rPr>
          <w:b w:val="0"/>
          <w:bCs w:val="0"/>
        </w:rPr>
      </w:pPr>
      <w:r>
        <w:rPr>
          <w:b/>
          <w:i w:val="0"/>
          <w:strike w:val="0"/>
        </w:rPr>
        <w:t>Patry on Fair Use</w:t>
      </w:r>
      <w:r w:rsidRPr="00C67A9D">
        <w:rPr>
          <w:b w:val="0"/>
          <w:bCs w:val="0"/>
        </w:rPr>
        <w:t xml:space="preserve">   •   </w:t>
      </w:r>
      <w:r>
        <w:rPr>
          <w:b/>
          <w:i w:val="0"/>
          <w:strike w:val="0"/>
        </w:rPr>
        <w:t>PATRYFAIR § 3:27.10</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...This maps perfectly the arguments made by the Supreme Court in its 2023 Warhol decision. Justice Sotomayor's majority opinion addressed the argument at length, first in connection with transformative uses and the right to prepare derivative works:Campbell did describe a transformative use as one that “alter[s] the first [work] with new expression, meaning, or message.” 510 U. S., at 579; see also Google, 593 U. S., at — (slip op., at 24). That description paraphrased Judge Leval's law review article, which referred to “new information, new aesthetics,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13</w:t>
      </w:r>
      <w:r w:rsidRPr="00755B14">
        <w:rPr>
          <w:b/>
          <w:bCs/>
        </w:rPr>
        <w:t>.</w:t>
      </w:r>
      <w:r>
        <w:t xml:space="preserve"> </w:t>
      </w:r>
      <w:r>
        <w:t xml:space="preserve"> </w:t>
      </w:r>
      <w:hyperlink r:id="rId23" w:history="1">
        <w:r>
          <w:rPr>
            <w:rStyle w:val="Hyperlink"/>
            <w:b/>
            <w:i w:val="0"/>
            <w:strike w:val="0"/>
            <w:color w:val="467886"/>
            <w:u w:val="single"/>
          </w:rPr>
          <w:t>§ 15:59. Evaluating the four factors—The nature and purpose of the use—The transformative nature of the use—Commentary</w:t>
        </w:r>
      </w:hyperlink>
    </w:p>
    <w:p w:rsidR="000911FB" w:rsidRPr="00C67A9D" w:rsidP="000911FB" w14:textId="43CA2655">
      <w:pPr>
        <w:pStyle w:val="Report-Metadata"/>
        <w:rPr>
          <w:b w:val="0"/>
          <w:bCs w:val="0"/>
        </w:rPr>
      </w:pPr>
      <w:r>
        <w:rPr>
          <w:b/>
          <w:i w:val="0"/>
          <w:strike w:val="0"/>
        </w:rPr>
        <w:t>Law of Copyright</w:t>
      </w:r>
      <w:r w:rsidRPr="00C67A9D">
        <w:rPr>
          <w:b w:val="0"/>
          <w:bCs w:val="0"/>
        </w:rPr>
        <w:t xml:space="preserve">   •   </w:t>
      </w:r>
      <w:r>
        <w:rPr>
          <w:b/>
          <w:i w:val="0"/>
          <w:strike w:val="0"/>
        </w:rPr>
        <w:t>COPYLAW § 15:59</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...Andy Warhol Foundation for the Visual Arts, Inc. v. Goldsmith, 143 S. Ct. 1258, 1273, 215 L. Ed. 2 d 473 (2023) (“Even though Orange Prince adds new expression to Goldsmith's photograph, … this Court agrees with the Court of Appeals that, in the context of the challenged use, the first fair use factor still favors Goldsmith.”). See also 143 S. Ct 1258, 1282 (2023) (“According to AWF, that new meaning or message … makes the use ‘transformative’ in the fair use sense. We disagree…. Campbell cannot be read to mean that [the first factor] weighs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pPr>
        <w:pStyle w:val="Report-SubheadLvl1"/>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sz w:val="26"/>
        </w:rPr>
        <w:t>Additional sources</w:t>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rPr>
        <w:t>These sources are not cited in your report, but can provide context that may be helpful.</w:t>
      </w:r>
    </w:p>
    <w:p w:rsidR="000911FB" w:rsidRPr="00E5063B" w:rsidP="000911FB" w14:paraId="5C581A35" w14:textId="77777777">
      <w:pPr>
        <w:spacing w:before="113" w:after="113"/>
        <w:rPr>
          <w:rFonts w:cs="Arial"/>
          <w:b/>
          <w:sz w:val="16"/>
        </w:rPr>
      </w:pPr>
    </w:p>
    <w:p w:rsidR="000911FB" w:rsidP="000911FB" w14:paraId="3AF2579E" w14:textId="03B1B35D">
      <w:pPr>
        <w:pStyle w:val="Report-Body"/>
      </w:pPr>
      <w:r>
        <w:rPr>
          <w:b/>
          <w:i w:val="0"/>
          <w:strike w:val="0"/>
        </w:rPr>
        <w:t>14</w:t>
      </w:r>
      <w:r w:rsidRPr="00755B14">
        <w:rPr>
          <w:b/>
          <w:bCs/>
        </w:rPr>
        <w:t>.</w:t>
      </w:r>
      <w:r w:rsidRPr="00E5063B">
        <w:t xml:space="preserve"> </w:t>
      </w:r>
      <w:r>
        <w:t xml:space="preserve"> </w:t>
      </w:r>
      <w:hyperlink r:id="rId24" w:history="1">
        <w:r>
          <w:rPr>
            <w:rStyle w:val="Hyperlink"/>
            <w:b/>
            <w:i w:val="0"/>
            <w:strike w:val="0"/>
            <w:color w:val="467886"/>
            <w:u w:val="single"/>
          </w:rPr>
          <w:t>Defamation: Asserting a Claim (NY)</w:t>
        </w:r>
      </w:hyperlink>
    </w:p>
    <w:p w:rsidR="000911FB" w:rsidRPr="00C67A9D" w:rsidP="000911FB" w14:paraId="7E18259B" w14:textId="77777777">
      <w:pPr>
        <w:pStyle w:val="Report-Metadata"/>
        <w:rPr>
          <w:b w:val="0"/>
          <w:bCs w:val="0"/>
        </w:rPr>
      </w:pPr>
      <w:r>
        <w:rPr>
          <w:b/>
          <w:i w:val="0"/>
          <w:strike w:val="0"/>
        </w:rPr>
        <w:t>Practice Note</w:t>
      </w:r>
      <w:r w:rsidRPr="00C67A9D">
        <w:rPr>
          <w:b w:val="0"/>
          <w:bCs w:val="0"/>
        </w:rPr>
        <w:t xml:space="preserve">   •   </w:t>
      </w:r>
      <w:r>
        <w:rPr>
          <w:b/>
          <w:i w:val="0"/>
          <w:strike w:val="0"/>
          <w:color w:val="218321"/>
        </w:rPr>
        <w:t>Maintained</w:t>
      </w:r>
      <w:r w:rsidRPr="00C67A9D">
        <w:rPr>
          <w:b w:val="0"/>
          <w:bCs w:val="0"/>
        </w:rPr>
        <w:t xml:space="preserve">   •    </w:t>
      </w:r>
      <w:r>
        <w:rPr>
          <w:b/>
          <w:i w:val="0"/>
          <w:strike w:val="0"/>
        </w:rPr>
        <w:t>New York</w:t>
      </w:r>
    </w:p>
    <w:p w:rsidR="000911FB" w:rsidP="000911FB" w14:paraId="7F67AA02"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Practice Note examining the key considerations for asserting a defamation claim under New York law. This resource provides practical guidance on the essential elements for claims of both libel (written) and slander (spoken), navigating New York's mixture of common law and statutory rules. It explores crucial distinctions, including defamation per se and defamation per quod, and the different fault standards that apply, such as negligence, gross irresponsibility for media defendants, and the actual malice standard required for public figures.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B1B35D">
      <w:pPr>
        <w:pStyle w:val="Report-Body"/>
      </w:pPr>
      <w:r>
        <w:rPr>
          <w:b/>
          <w:i w:val="0"/>
          <w:strike w:val="0"/>
        </w:rPr>
        <w:t>15</w:t>
      </w:r>
      <w:r w:rsidRPr="00755B14">
        <w:rPr>
          <w:b/>
          <w:bCs/>
        </w:rPr>
        <w:t>.</w:t>
      </w:r>
      <w:r w:rsidRPr="00E5063B">
        <w:t xml:space="preserve"> </w:t>
      </w:r>
      <w:r>
        <w:t xml:space="preserve"> </w:t>
      </w:r>
      <w:hyperlink r:id="rId25" w:history="1">
        <w:r>
          <w:rPr>
            <w:rStyle w:val="Hyperlink"/>
            <w:b/>
            <w:i w:val="0"/>
            <w:strike w:val="0"/>
            <w:color w:val="467886"/>
            <w:u w:val="single"/>
          </w:rPr>
          <w:t>Manufactured Homes (Ownership): State Comparison Chart</w:t>
        </w:r>
      </w:hyperlink>
    </w:p>
    <w:p w:rsidR="000911FB" w:rsidRPr="00C67A9D" w:rsidP="000911FB" w14:textId="77777777">
      <w:pPr>
        <w:pStyle w:val="Report-Metadata"/>
        <w:rPr>
          <w:b w:val="0"/>
          <w:bCs w:val="0"/>
        </w:rPr>
      </w:pPr>
      <w:r>
        <w:rPr>
          <w:b/>
          <w:i w:val="0"/>
          <w:strike w:val="0"/>
        </w:rPr>
        <w:t>Checklist</w:t>
      </w:r>
      <w:r w:rsidRPr="00C67A9D">
        <w:rPr>
          <w:b w:val="0"/>
          <w:bCs w:val="0"/>
        </w:rPr>
        <w:t xml:space="preserve">   •   </w:t>
      </w:r>
      <w:r>
        <w:rPr>
          <w:b/>
          <w:i w:val="0"/>
          <w:strike w:val="0"/>
        </w:rPr>
        <w:t>Law stated as of 01-Aug-2025</w:t>
      </w:r>
      <w:r w:rsidRPr="00C67A9D">
        <w:rPr>
          <w:b w:val="0"/>
          <w:bCs w:val="0"/>
        </w:rPr>
        <w:t xml:space="preserve">   •    </w:t>
      </w:r>
      <w:r>
        <w:rPr>
          <w:b/>
          <w:i w:val="0"/>
          <w:strike w:val="0"/>
        </w:rPr>
        <w:t>Rhode Island</w:t>
      </w:r>
    </w:p>
    <w:p w:rsidR="000911FB" w:rsidP="000911FB"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Chart providing a state-by-state comparison of key legal issues governing the ownership of manufactured homes, including mobile homes and trailer homes. This Chart examines how state laws classify manufactured housing as either personal property or real property, a critical distinction that impacts legal requirements. It outlines state-specific rules for ad valorem taxes, requirements for obtaining a certificate of title, payment of registration fees, and the availability of homestead exemptions from both taxation and execution. Furthermore,</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B1B35D">
      <w:pPr>
        <w:pStyle w:val="Report-Body"/>
      </w:pPr>
      <w:r>
        <w:rPr>
          <w:b/>
          <w:i w:val="0"/>
          <w:strike w:val="0"/>
        </w:rPr>
        <w:t>16</w:t>
      </w:r>
      <w:r w:rsidRPr="00755B14">
        <w:rPr>
          <w:b/>
          <w:bCs/>
        </w:rPr>
        <w:t>.</w:t>
      </w:r>
      <w:r w:rsidRPr="00E5063B">
        <w:t xml:space="preserve"> </w:t>
      </w:r>
      <w:r>
        <w:t xml:space="preserve"> </w:t>
      </w:r>
      <w:hyperlink r:id="rId26" w:history="1">
        <w:r>
          <w:rPr>
            <w:rStyle w:val="Hyperlink"/>
            <w:b/>
            <w:i w:val="0"/>
            <w:strike w:val="0"/>
            <w:color w:val="467886"/>
            <w:u w:val="single"/>
          </w:rPr>
          <w:t>SDNY Bankruptcy Appeals Checklist</w:t>
        </w:r>
      </w:hyperlink>
    </w:p>
    <w:p w:rsidR="000911FB" w:rsidRPr="00C67A9D" w:rsidP="000911FB" w14:textId="77777777">
      <w:pPr>
        <w:pStyle w:val="Report-Metadata"/>
        <w:rPr>
          <w:b w:val="0"/>
          <w:bCs w:val="0"/>
        </w:rPr>
      </w:pPr>
      <w:r>
        <w:rPr>
          <w:b/>
          <w:i w:val="0"/>
          <w:strike w:val="0"/>
        </w:rPr>
        <w:t>Checklist</w:t>
      </w:r>
      <w:r w:rsidRPr="00C67A9D">
        <w:rPr>
          <w:b w:val="0"/>
          <w:bCs w:val="0"/>
        </w:rPr>
        <w:t xml:space="preserve">   •   </w:t>
      </w:r>
      <w:r>
        <w:rPr>
          <w:b/>
          <w:i w:val="0"/>
          <w:strike w:val="0"/>
          <w:color w:val="218321"/>
        </w:rPr>
        <w:t>Maintained</w:t>
      </w:r>
      <w:r w:rsidRPr="00C67A9D">
        <w:rPr>
          <w:b w:val="0"/>
          <w:bCs w:val="0"/>
        </w:rPr>
        <w:t xml:space="preserve">   •    </w:t>
      </w:r>
      <w:r>
        <w:rPr>
          <w:b/>
          <w:i w:val="0"/>
          <w:strike w:val="0"/>
        </w:rPr>
        <w:t>New York</w:t>
      </w:r>
    </w:p>
    <w:p w:rsidR="000911FB" w:rsidP="000911FB"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Checklist outlining the procedural steps required for appealing a bankruptcy court order or judgment in the United States Bankruptcy Court for the Southern District of New York (S.D.N.Y.). This Checklist addresses the initial determination of whether an order is final or interlocutory and details the process for seeking leave to appeal. It covers critical procedural requirements and deadlines under the Federal Rules of Bankruptcy Procedure and S.D.N.Y. local rules, including filing the notice of appeal, obtaining a stay pending appeal, and designating</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F3725" w14:paraId="7E7DF2DC" w14:textId="29C35765">
      <w:pPr>
        <w:pStyle w:val="Report-Body"/>
      </w:pP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000000"/>
          <w:sz w:val="36"/>
        </w:rPr>
        <w:t>Research Steps</w:t>
        <w:br/>
      </w:r>
    </w:p>
    <w:p>
      <w:pPr>
        <w:numPr>
          <w:ilvl w:val="0"/>
          <w:numId w:val="34"/>
        </w:numPr>
        <w:rPr>
          <w:b w:val="0"/>
          <w:i w:val="0"/>
          <w:strike w:val="0"/>
        </w:rPr>
      </w:pPr>
      <w:r>
        <w:rPr>
          <w:rFonts w:ascii="Arial" w:eastAsia="Times New Roman" w:hAnsi="Arial" w:cs="Arial"/>
          <w:b w:val="0"/>
          <w:i w:val="0"/>
          <w:strike w:val="0"/>
          <w:color w:val="1D1D1D"/>
        </w:rPr>
        <w:t>Analyzing the text and legislative history of 17 U.S.C. § 107 to determine the scope and meaning of "criticism, comment, [or] teaching" as enumerated fair use purposes</w:t>
      </w:r>
    </w:p>
    <w:p>
      <w:pPr>
        <w:numPr>
          <w:ilvl w:val="1"/>
          <w:numId w:val="34"/>
        </w:numPr>
        <w:rPr>
          <w:b w:val="0"/>
          <w:i w:val="0"/>
          <w:strike w:val="0"/>
        </w:rPr>
      </w:pPr>
      <w:r>
        <w:rPr>
          <w:rFonts w:ascii="Arial" w:eastAsia="Times New Roman" w:hAnsi="Arial" w:cs="Arial"/>
          <w:b w:val="0"/>
          <w:i w:val="0"/>
          <w:strike w:val="0"/>
          <w:color w:val="1D1D1D"/>
        </w:rPr>
        <w:t>17 U.S.C. § 107 lists "criticism, comment, teaching" as illustrative, not exhaustive categories. Courts analyze whether use serves these purposes "to an insignificant or a substantial extent."</w:t>
      </w:r>
    </w:p>
    <w:p>
      <w:pPr>
        <w:numPr>
          <w:ilvl w:val="0"/>
          <w:numId w:val="34"/>
        </w:numPr>
        <w:rPr>
          <w:b w:val="0"/>
          <w:i w:val="0"/>
          <w:strike w:val="0"/>
        </w:rPr>
      </w:pPr>
      <w:r>
        <w:rPr>
          <w:rFonts w:ascii="Arial" w:eastAsia="Times New Roman" w:hAnsi="Arial" w:cs="Arial"/>
          <w:b w:val="0"/>
          <w:i w:val="0"/>
          <w:strike w:val="0"/>
          <w:color w:val="1D1D1D"/>
        </w:rPr>
        <w:t>Researching federal case law interpreting whether historical correction or fact-checking activities constitute "criticism" or "comment" under the fair use doctrine</w:t>
      </w:r>
    </w:p>
    <w:p>
      <w:pPr>
        <w:numPr>
          <w:ilvl w:val="1"/>
          <w:numId w:val="34"/>
        </w:numPr>
        <w:rPr>
          <w:b w:val="0"/>
          <w:i w:val="0"/>
          <w:strike w:val="0"/>
        </w:rPr>
      </w:pPr>
      <w:r>
        <w:rPr>
          <w:rFonts w:ascii="Arial" w:eastAsia="Times New Roman" w:hAnsi="Arial" w:cs="Arial"/>
          <w:b w:val="0"/>
          <w:i w:val="0"/>
          <w:strike w:val="0"/>
          <w:color w:val="1D1D1D"/>
        </w:rPr>
        <w:t>"Criticism" includes substantive correction - courts protect critical works whether "erudite" or "prosaic" as long as they advance copyright law's interests. Campbell v. Acuff-Rose establishes criticism need not be meta-commentary.</w:t>
      </w:r>
    </w:p>
    <w:p>
      <w:pPr>
        <w:numPr>
          <w:ilvl w:val="0"/>
          <w:numId w:val="34"/>
        </w:numPr>
        <w:rPr>
          <w:b w:val="0"/>
          <w:i w:val="0"/>
          <w:strike w:val="0"/>
        </w:rPr>
      </w:pPr>
      <w:r>
        <w:rPr>
          <w:rFonts w:ascii="Arial" w:eastAsia="Times New Roman" w:hAnsi="Arial" w:cs="Arial"/>
          <w:b w:val="0"/>
          <w:i w:val="0"/>
          <w:strike w:val="0"/>
          <w:color w:val="1D1D1D"/>
        </w:rPr>
        <w:t>Examining New York state court decisions that have applied federal fair use analysis to determine how courts interpret the statutory categories in § 107</w:t>
      </w:r>
    </w:p>
    <w:p>
      <w:pPr>
        <w:numPr>
          <w:ilvl w:val="1"/>
          <w:numId w:val="34"/>
        </w:numPr>
        <w:rPr>
          <w:b w:val="0"/>
          <w:i w:val="0"/>
          <w:strike w:val="0"/>
        </w:rPr>
      </w:pPr>
      <w:r>
        <w:rPr>
          <w:rFonts w:ascii="Arial" w:eastAsia="Times New Roman" w:hAnsi="Arial" w:cs="Arial"/>
          <w:b w:val="0"/>
          <w:i w:val="0"/>
          <w:strike w:val="0"/>
          <w:color w:val="1D1D1D"/>
        </w:rPr>
        <w:t>New York state courts apply federal fair use analysis since copyright is exclusively federal. State fair comment doctrine differs from federal fair use - applies to defamation, requires factual basis, protects opinion not fact correction.</w:t>
      </w:r>
    </w:p>
    <w:p>
      <w:pPr>
        <w:numPr>
          <w:ilvl w:val="0"/>
          <w:numId w:val="34"/>
        </w:numPr>
        <w:rPr>
          <w:b w:val="0"/>
          <w:i w:val="0"/>
          <w:strike w:val="0"/>
        </w:rPr>
      </w:pPr>
      <w:r>
        <w:rPr>
          <w:rFonts w:ascii="Arial" w:eastAsia="Times New Roman" w:hAnsi="Arial" w:cs="Arial"/>
          <w:b w:val="0"/>
          <w:i w:val="0"/>
          <w:strike w:val="0"/>
          <w:color w:val="1D1D1D"/>
        </w:rPr>
        <w:t>Investigating federal circuit court precedents addressing whether educational or corrective purposes regarding historical inaccuracies qualify as "teaching" under 17 U.S.C. § 107</w:t>
      </w:r>
    </w:p>
    <w:p>
      <w:pPr>
        <w:numPr>
          <w:ilvl w:val="1"/>
          <w:numId w:val="34"/>
        </w:numPr>
        <w:rPr>
          <w:b w:val="0"/>
          <w:i w:val="0"/>
          <w:strike w:val="0"/>
        </w:rPr>
      </w:pPr>
      <w:r>
        <w:rPr>
          <w:rFonts w:ascii="Arial" w:eastAsia="Times New Roman" w:hAnsi="Arial" w:cs="Arial"/>
          <w:b w:val="0"/>
          <w:i w:val="0"/>
          <w:strike w:val="0"/>
          <w:color w:val="1D1D1D"/>
        </w:rPr>
        <w:t>"Teaching" extends beyond classroom use - includes scholarly works that "further copyright goals by adding value to prior intellectual labor." Strong presumption favors educational purposes under Factor 1.</w:t>
      </w:r>
    </w:p>
    <w:p>
      <w:pPr>
        <w:numPr>
          <w:ilvl w:val="0"/>
          <w:numId w:val="34"/>
        </w:numPr>
        <w:rPr>
          <w:b w:val="0"/>
          <w:i w:val="0"/>
          <w:strike w:val="0"/>
        </w:rPr>
      </w:pPr>
      <w:r>
        <w:rPr>
          <w:rFonts w:ascii="Arial" w:eastAsia="Times New Roman" w:hAnsi="Arial" w:cs="Arial"/>
          <w:b w:val="0"/>
          <w:i w:val="0"/>
          <w:strike w:val="0"/>
          <w:color w:val="1D1D1D"/>
        </w:rPr>
        <w:t>Analyzing cases involving historical works, documentaries, or academic publications to determine how courts have classified activities that correct or challenge historical narratives within the § 107 framework</w:t>
      </w:r>
    </w:p>
    <w:p>
      <w:pPr>
        <w:numPr>
          <w:ilvl w:val="1"/>
          <w:numId w:val="34"/>
        </w:numPr>
        <w:rPr>
          <w:b w:val="0"/>
          <w:i w:val="0"/>
          <w:strike w:val="0"/>
        </w:rPr>
      </w:pPr>
      <w:r>
        <w:rPr>
          <w:rFonts w:ascii="Arial" w:eastAsia="Times New Roman" w:hAnsi="Arial" w:cs="Arial"/>
          <w:b w:val="0"/>
          <w:i w:val="0"/>
          <w:strike w:val="0"/>
          <w:color w:val="1D1D1D"/>
        </w:rPr>
        <w:t>Narell v. Freeman shows historical works get broader fair use protection; Red Label confirms fair use "protects filmmakers and documentarians from chilling effects" for "historical purposes"; courts favor corrective uses that advance copyright law interests.</w:t>
      </w:r>
    </w:p>
    <w:p>
      <w:pPr>
        <w:numPr>
          <w:ilvl w:val="0"/>
          <w:numId w:val="34"/>
        </w:numPr>
        <w:rPr>
          <w:b w:val="0"/>
          <w:i w:val="0"/>
          <w:strike w:val="0"/>
        </w:rPr>
      </w:pPr>
      <w:r>
        <w:rPr>
          <w:rFonts w:ascii="Arial" w:eastAsia="Times New Roman" w:hAnsi="Arial" w:cs="Arial"/>
          <w:b w:val="0"/>
          <w:i w:val="0"/>
          <w:strike w:val="0"/>
          <w:color w:val="1D1D1D"/>
        </w:rPr>
        <w:t>Analyzing the critical Keeling v. Hars precedent establishing that works can be both derivative AND qualify for fair use under Factor 1 when they transform purpose/character through criticism</w:t>
      </w:r>
    </w:p>
    <w:p>
      <w:pPr>
        <w:numPr>
          <w:ilvl w:val="1"/>
          <w:numId w:val="34"/>
        </w:numPr>
        <w:rPr>
          <w:b w:val="0"/>
          <w:i w:val="0"/>
          <w:strike w:val="0"/>
        </w:rPr>
      </w:pPr>
      <w:r>
        <w:rPr>
          <w:rFonts w:ascii="Arial" w:eastAsia="Times New Roman" w:hAnsi="Arial" w:cs="Arial"/>
          <w:b w:val="0"/>
          <w:i w:val="0"/>
          <w:strike w:val="0"/>
          <w:color w:val="1D1D1D"/>
        </w:rPr>
        <w:t>Keeling v. Hars (2d Cir. 2015) establishes that derivative works and fair use are "discrete legal categories" - derivative works transform "form" while fair use transforms "purpose and character." A work can be BOTH derivative AND fair use when it transforms purpose through criticism/parody. Courts must analyze fair use independently of derivative work status.</w:t>
        <w:br/>
      </w:r>
    </w:p>
    <w:p w:rsidR="00266DD2" w:rsidP="00266DD2" w14:paraId="7D0BA273" w14:textId="0D6FC439">
      <w:pPr>
        <w:pStyle w:val="Report-Body"/>
        <w:rPr>
          <w:rFonts w:asciiTheme="minorHAnsi" w:eastAsiaTheme="minorHAnsi" w:hAnsiTheme="minorHAnsi" w:cstheme="minorBidi"/>
          <w:color w:val="auto"/>
          <w:kern w:val="2"/>
          <w:szCs w:val="24"/>
          <w14:ligatures w14:val="standardContextual"/>
        </w:rPr>
      </w:pPr>
      <w:r>
        <w:br/>
      </w:r>
      <w:r>
        <w:rPr>
          <w:noProof/>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244475</wp:posOffset>
                </wp:positionV>
                <wp:extent cx="5905500" cy="0"/>
                <wp:effectExtent l="0" t="12700" r="12700" b="12700"/>
                <wp:wrapNone/>
                <wp:docPr id="708621368"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46" style="mso-wrap-distance-bottom:0;mso-wrap-distance-left:9pt;mso-wrap-distance-right:9pt;mso-wrap-distance-top:0;mso-wrap-style:square;position:absolute;visibility:visible;z-index:251663360" from="0,19.25pt" to="465pt,19.25pt" strokecolor="black" strokeweight="1.5pt">
                <v:stroke joinstyle="miter"/>
              </v:line>
            </w:pict>
          </mc:Fallback>
        </mc:AlternateContent>
      </w: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hAnsi="Arial" w:cs="Arial"/>
          <w:b w:val="0"/>
          <w:i w:val="0"/>
          <w:strike w:val="0"/>
          <w:color w:val="000000"/>
          <w:sz w:val="36"/>
        </w:rPr>
        <w:t>Questions for further research</w:t>
        <w:br/>
      </w:r>
    </w:p>
    <w:p>
      <w:pPr>
        <w:numPr>
          <w:ilvl w:val="0"/>
          <w:numId w:val="33"/>
        </w:numPr>
        <w:rPr>
          <w:b w:val="0"/>
          <w:i w:val="0"/>
          <w:strike w:val="0"/>
        </w:rPr>
      </w:pPr>
      <w:r>
        <w:rPr>
          <w:rFonts w:ascii="Arial" w:hAnsi="Arial" w:cs="Arial"/>
          <w:b/>
          <w:i w:val="0"/>
          <w:strike w:val="0"/>
          <w:color w:val="1D1D1D"/>
        </w:rPr>
        <w:t>What specific historical inaccuracies are you seeking to correct (factual errors, misattributed quotes, timeline mistakes, etc.)?</w:t>
      </w:r>
    </w:p>
    <w:p>
      <w:pPr>
        <w:numPr>
          <w:ilvl w:val="0"/>
          <w:numId w:val="33"/>
        </w:numPr>
        <w:rPr>
          <w:b w:val="0"/>
          <w:i w:val="0"/>
          <w:strike w:val="0"/>
        </w:rPr>
      </w:pPr>
      <w:r>
        <w:rPr>
          <w:rFonts w:ascii="Arial" w:hAnsi="Arial" w:cs="Arial"/>
          <w:b/>
          <w:i w:val="0"/>
          <w:strike w:val="0"/>
          <w:color w:val="1D1D1D"/>
        </w:rPr>
        <w:t>Are you creating an entirely new work that corrects historical inaccuracies, or are you modifying/adapting an existing copyrighted historical work?</w:t>
      </w:r>
    </w:p>
    <w:p>
      <w:pPr>
        <w:numPr>
          <w:ilvl w:val="0"/>
          <w:numId w:val="33"/>
        </w:numPr>
        <w:rPr>
          <w:b w:val="0"/>
          <w:i w:val="0"/>
          <w:strike w:val="0"/>
        </w:rPr>
      </w:pPr>
      <w:r>
        <w:rPr>
          <w:rFonts w:ascii="Arial" w:hAnsi="Arial" w:cs="Arial"/>
          <w:b/>
          <w:i w:val="0"/>
          <w:strike w:val="0"/>
          <w:color w:val="1D1D1D"/>
        </w:rPr>
        <w:t>Will your corrective work include direct quotations or reproductions from the original work containing the inaccuracies?</w:t>
      </w:r>
    </w:p>
    <w:p>
      <w:pPr>
        <w:numPr>
          <w:ilvl w:val="0"/>
          <w:numId w:val="33"/>
        </w:numPr>
        <w:rPr>
          <w:b w:val="0"/>
          <w:i w:val="0"/>
          <w:strike w:val="0"/>
        </w:rPr>
      </w:pPr>
      <w:r>
        <w:rPr>
          <w:rFonts w:ascii="Arial" w:hAnsi="Arial" w:cs="Arial"/>
          <w:b/>
          <w:i w:val="0"/>
          <w:strike w:val="0"/>
          <w:color w:val="1D1D1D"/>
        </w:rPr>
        <w:t>Is your intended work primarily commercial, educational, or scholarly in nature?</w:t>
      </w:r>
    </w:p>
    <w:p>
      <w:pPr>
        <w:numPr>
          <w:ilvl w:val="0"/>
          <w:numId w:val="33"/>
        </w:numPr>
        <w:rPr>
          <w:b w:val="0"/>
          <w:i w:val="0"/>
          <w:strike w:val="0"/>
        </w:rPr>
      </w:pPr>
      <w:r>
        <w:rPr>
          <w:rFonts w:ascii="Arial" w:hAnsi="Arial" w:cs="Arial"/>
          <w:b/>
          <w:i w:val="0"/>
          <w:strike w:val="0"/>
          <w:color w:val="1D1D1D"/>
        </w:rPr>
        <w:t>Do you plan to distribute your corrective work through academic channels, commercial publishers, or other specific platforms?</w:t>
      </w:r>
      <w:r>
        <w:rPr>
          <w:rFonts w:ascii="Arial" w:hAnsi="Arial" w:cs="Arial"/>
          <w:b w:val="0"/>
          <w:i w:val="0"/>
          <w:strike w:val="0"/>
          <w:color w:val="1D1D1D"/>
        </w:rPr>
        <w:br/>
        <w:br/>
      </w:r>
    </w:p>
    <w:p w:rsidR="00266DD2" w:rsidP="00266DD2" w14:paraId="1EC8BF0B" w14:textId="77777777">
      <w:pPr>
        <w:pStyle w:val="Report-Body"/>
        <w:rPr>
          <w:rFonts w:eastAsiaTheme="minorHAnsi"/>
        </w:rPr>
      </w:pPr>
      <w:r w:rsidRPr="007A4513">
        <w:rPr>
          <w:rFonts w:eastAsiaTheme="minorHAnsi"/>
        </w:rPr>
        <w:t xml:space="preserve"> </w:t>
      </w:r>
    </w:p>
    <w:p w:rsidR="00F3378D" w:rsidRPr="000E6B43" w:rsidP="00CD7BBC" w14:paraId="7B361FDD" w14:textId="1EF80FA4">
      <w:pPr>
        <w:pStyle w:val="Report-Body"/>
      </w:pPr>
    </w:p>
    <w:p w:rsidR="007E5AC0" w:rsidRPr="00A610D3" w:rsidP="00A610D3" w14:paraId="77A3323A" w14:textId="77777777"/>
    <w:sectPr w:rsidSect="00B62FF8">
      <w:headerReference w:type="default" r:id="rId27"/>
      <w:footerReference w:type="even" r:id="rId28"/>
      <w:footerReference w:type="default" r:id="rId29"/>
      <w:pgSz w:w="12240" w:h="15840"/>
      <w:pgMar w:top="1440" w:right="1440" w:bottom="1440" w:left="1440" w:header="737"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P="0071770E" w14:paraId="7161748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1770E" w:rsidRPr="00CA3A86" w:rsidP="00266D65" w14:paraId="0BA2D906" w14:textId="77501D8E">
    <w:pPr>
      <w:pStyle w:val="Footer"/>
      <w:rPr>
        <w:rStyle w:val="PageNumber"/>
        <w:rFonts w:ascii="Arial" w:hAnsi="Arial" w:cs="Arial"/>
        <w:sz w:val="18"/>
        <w:szCs w:val="18"/>
      </w:rPr>
    </w:pPr>
  </w:p>
  <w:p w:rsidR="00266D65" w:rsidRPr="00CA3A86" w:rsidP="004A573A" w14:paraId="76D473BF" w14:textId="56E8A3DF">
    <w:pPr>
      <w:pStyle w:val="Footer"/>
      <w:rPr>
        <w:rStyle w:val="PageNumber"/>
        <w:rFonts w:ascii="Arial" w:hAnsi="Arial" w:cs="Arial"/>
        <w:sz w:val="18"/>
        <w:szCs w:val="18"/>
      </w:rPr>
    </w:pPr>
    <w:r w:rsidRPr="00CA3A86">
      <w:rPr>
        <w:rFonts w:ascii="Arial" w:hAnsi="Arial" w:cs="Arial"/>
        <w:noProof/>
        <w:sz w:val="18"/>
        <w:szCs w:val="18"/>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-92710</wp:posOffset>
              </wp:positionV>
              <wp:extent cx="5933440" cy="2918"/>
              <wp:effectExtent l="0" t="12700" r="22860" b="22860"/>
              <wp:wrapNone/>
              <wp:docPr id="209175415" name="Straight Connector 23"/>
              <wp:cNvGraphicFramePr/>
              <a:graphic xmlns:a="http://schemas.openxmlformats.org/drawingml/2006/main">
                <a:graphicData uri="http://schemas.microsoft.com/office/word/2010/wordprocessingShape">
                  <wps:wsp xmlns:wps="http://schemas.microsoft.com/office/word/2010/wordprocessingShape">
                    <wps:cNvCnPr/>
                    <wps:spPr>
                      <a:xfrm flipV="1">
                        <a:off x="0" y="0"/>
                        <a:ext cx="5933440" cy="2918"/>
                      </a:xfrm>
                      <a:prstGeom prst="line">
                        <a:avLst/>
                      </a:prstGeom>
                      <a:ln>
                        <a:solidFill>
                          <a:schemeClr val="bg2">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3" o:spid="_x0000_s2049" style="flip:y;mso-height-percent:0;mso-height-relative:margin;mso-width-percent:0;mso-width-relative:margin;mso-wrap-distance-bottom:0;mso-wrap-distance-left:9pt;mso-wrap-distance-right:9pt;mso-wrap-distance-top:0;mso-wrap-style:square;position:absolute;visibility:visible;z-index:251659264" from="0,-7.3pt" to="467.2pt,-7.05pt" strokecolor="#737373" strokeweight="1.5pt">
              <v:stroke joinstyle="miter"/>
            </v:line>
          </w:pict>
        </mc:Fallback>
      </mc:AlternateContent>
    </w:r>
    <w:r w:rsidRPr="00CA3A86" w:rsidR="002233E3">
      <w:rPr>
        <w:rFonts w:ascii="Arial" w:hAnsi="Arial" w:cs="Arial"/>
        <w:sz w:val="18"/>
        <w:szCs w:val="18"/>
      </w:rPr>
      <w:t xml:space="preserve"> </w:t>
    </w:r>
    <w:r>
      <w:rPr>
        <w:rFonts w:ascii="Arial" w:hAnsi="Arial" w:cs="Arial"/>
        <w:b w:val="0"/>
        <w:i w:val="0"/>
        <w:strike w:val="0"/>
        <w:sz w:val="18"/>
      </w:rPr>
      <w:t>Westlaw Advantage</w:t>
    </w:r>
    <w:r w:rsidRPr="00CA3A86" w:rsidR="002233E3">
      <w:rPr>
        <w:rFonts w:ascii="Arial" w:hAnsi="Arial" w:cs="Arial"/>
        <w:sz w:val="18"/>
        <w:szCs w:val="18"/>
      </w:rPr>
      <w:t xml:space="preserve">. © </w:t>
    </w:r>
    <w:r>
      <w:rPr>
        <w:rFonts w:ascii="Arial" w:hAnsi="Arial" w:cs="Arial"/>
        <w:b w:val="0"/>
        <w:i w:val="0"/>
        <w:strike w:val="0"/>
        <w:sz w:val="18"/>
      </w:rPr>
      <w:t>2026</w:t>
    </w:r>
    <w:r w:rsidRPr="00CA3A86" w:rsidR="002233E3">
      <w:rPr>
        <w:rFonts w:ascii="Arial" w:hAnsi="Arial" w:cs="Arial"/>
        <w:sz w:val="18"/>
        <w:szCs w:val="18"/>
      </w:rPr>
      <w:t xml:space="preserve"> Thomson Reuters. No claim to original U.S. Government Works.</w:t>
    </w:r>
    <w:r w:rsidR="004A573A">
      <w:rPr>
        <w:rFonts w:ascii="Arial" w:hAnsi="Arial" w:cs="Arial"/>
        <w:sz w:val="18"/>
        <w:szCs w:val="18"/>
      </w:rPr>
      <w:tab/>
    </w:r>
    <w:r w:rsidRPr="004A573A" w:rsidR="004A573A">
      <w:rPr>
        <w:rFonts w:ascii="Arial" w:hAnsi="Arial" w:cs="Arial"/>
        <w:sz w:val="18"/>
        <w:szCs w:val="18"/>
      </w:rPr>
      <w:fldChar w:fldCharType="begin"/>
    </w:r>
    <w:r w:rsidRPr="004A573A" w:rsidR="004A573A">
      <w:rPr>
        <w:rFonts w:ascii="Arial" w:hAnsi="Arial" w:cs="Arial"/>
        <w:sz w:val="18"/>
        <w:szCs w:val="18"/>
      </w:rPr>
      <w:instrText xml:space="preserve"> PAGE   \* MERGEFORMAT </w:instrText>
    </w:r>
    <w:r w:rsidRPr="004A573A" w:rsidR="004A573A">
      <w:rPr>
        <w:rFonts w:ascii="Arial" w:hAnsi="Arial" w:cs="Arial"/>
        <w:sz w:val="18"/>
        <w:szCs w:val="18"/>
      </w:rPr>
      <w:fldChar w:fldCharType="separate"/>
    </w:r>
    <w:r w:rsidRPr="004A573A" w:rsidR="004A573A">
      <w:rPr>
        <w:rFonts w:ascii="Arial" w:hAnsi="Arial" w:cs="Arial"/>
        <w:noProof/>
        <w:sz w:val="18"/>
        <w:szCs w:val="18"/>
      </w:rPr>
      <w:t>12</w:t>
    </w:r>
    <w:r w:rsidRPr="004A573A" w:rsidR="004A573A">
      <w:rPr>
        <w:rFonts w:ascii="Arial" w:hAnsi="Arial" w:cs="Arial"/>
        <w:noProof/>
        <w:sz w:val="18"/>
        <w:szCs w:val="18"/>
      </w:rPr>
      <w:fldChar w:fldCharType="end"/>
    </w:r>
  </w:p>
  <w:p w:rsidR="00FB3768" w:rsidRPr="00CA3A86" w:rsidP="00266D65" w14:paraId="6F178050" w14:textId="4F694DA3">
    <w:pPr>
      <w:pStyle w:val="Footer"/>
      <w:rPr>
        <w:rFonts w:ascii="Arial" w:hAnsi="Arial" w:cs="Arial"/>
        <w:sz w:val="18"/>
        <w:szCs w:val="18"/>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RPr="00CA3A86" w:rsidP="00266D65" w14:paraId="468BA717" w14:textId="1009282B">
    <w:pPr>
      <w:pStyle w:val="Header"/>
      <w:rPr>
        <w:rFonts w:ascii="Arial" w:hAnsi="Arial" w:cs="Arial"/>
        <w:sz w:val="18"/>
        <w:szCs w:val="18"/>
      </w:rPr>
    </w:pPr>
    <w:r>
      <w:rPr>
        <w:rFonts w:ascii="Arial" w:hAnsi="Arial" w:cs="Arial"/>
        <w:b/>
        <w:i w:val="0"/>
        <w:strike w:val="0"/>
        <w:sz w:val="18"/>
      </w:rPr>
      <w:t>Westlaw AI Deep Research</w:t>
    </w:r>
    <w:r w:rsidRPr="00CA3A86" w:rsidR="00266D65">
      <w:rPr>
        <w:rFonts w:ascii="Arial" w:hAnsi="Arial" w:cs="Arial"/>
        <w:sz w:val="18"/>
        <w:szCs w:val="18"/>
      </w:rPr>
      <w:t xml:space="preserve">   •   Response generated: </w:t>
    </w:r>
    <w:r>
      <w:rPr>
        <w:rFonts w:ascii="Arial" w:hAnsi="Arial" w:cs="Arial"/>
        <w:b w:val="0"/>
        <w:i w:val="0"/>
        <w:strike w:val="0"/>
        <w:sz w:val="18"/>
      </w:rPr>
      <w:t>February 3, 2026</w:t>
    </w:r>
    <w:r w:rsidRPr="00CA3A86" w:rsidR="00266D65">
      <w:rPr>
        <w:rFonts w:ascii="Arial" w:hAnsi="Arial" w:cs="Arial"/>
        <w:sz w:val="18"/>
        <w:szCs w:val="18"/>
      </w:rPr>
      <w:t xml:space="preserve"> at </w:t>
    </w:r>
    <w:r>
      <w:rPr>
        <w:rFonts w:ascii="Arial" w:hAnsi="Arial" w:cs="Arial"/>
        <w:b w:val="0"/>
        <w:i w:val="0"/>
        <w:strike w:val="0"/>
        <w:sz w:val="18"/>
      </w:rPr>
      <w:t>11:49 p.m. UTC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hybridMultilevel"/>
    <w:tmpl w:val="00000001"/>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4457E2A"/>
    <w:multiLevelType w:val="multilevel"/>
    <w:tmpl w:val="E6722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755EC0"/>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6CD0400"/>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6FC1E9C"/>
    <w:multiLevelType w:val="multilevel"/>
    <w:tmpl w:val="F39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B0739E5"/>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1538483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1A94677A"/>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1B81534D"/>
    <w:multiLevelType w:val="hybridMultilevel"/>
    <w:tmpl w:val="0D8060D0"/>
    <w:lvl w:ilvl="0">
      <w:start w:val="1"/>
      <w:numFmt w:val="bullet"/>
      <w:lvlText w:val="ü"/>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9">
    <w:nsid w:val="27F06589"/>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2EA47815"/>
    <w:multiLevelType w:val="hybridMultilevel"/>
    <w:tmpl w:val="5DAE70DC"/>
    <w:lvl w:ilvl="0">
      <w:start w:val="3"/>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9424FA7"/>
    <w:multiLevelType w:val="hybridMultilevel"/>
    <w:tmpl w:val="658645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AF80D86"/>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3CA00D8C"/>
    <w:multiLevelType w:val="multilevel"/>
    <w:tmpl w:val="D516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1867403"/>
    <w:multiLevelType w:val="hybridMultilevel"/>
    <w:tmpl w:val="A5182E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5">
    <w:nsid w:val="4CA0583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4F374317"/>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51BE2E9D"/>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546622C0"/>
    <w:multiLevelType w:val="multilevel"/>
    <w:tmpl w:val="9D2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48A7882"/>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5496378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56A954C8"/>
    <w:multiLevelType w:val="hybridMultilevel"/>
    <w:tmpl w:val="D82A718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57B21FE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59FE2C15"/>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633C3930"/>
    <w:multiLevelType w:val="hybridMultilevel"/>
    <w:tmpl w:val="7BF4ABD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67F571E3"/>
    <w:multiLevelType w:val="multilevel"/>
    <w:tmpl w:val="6EDC73E6"/>
    <w:numStyleLink w:val="ResearchSteps"/>
  </w:abstractNum>
  <w:abstractNum w:abstractNumId="26">
    <w:nsid w:val="68C7770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6B224267"/>
    <w:multiLevelType w:val="multilevel"/>
    <w:tmpl w:val="6EDC73E6"/>
    <w:styleLink w:val="ResearchSteps"/>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color w:val="auto"/>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8">
    <w:nsid w:val="6B2B218C"/>
    <w:multiLevelType w:val="hybridMultilevel"/>
    <w:tmpl w:val="D6AC1E7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73A12D01"/>
    <w:multiLevelType w:val="multilevel"/>
    <w:tmpl w:val="904C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9BF6B44"/>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7C5654B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7C5654BB"/>
    <w:multiLevelType w:val="multilevel"/>
    <w:tmpl w:val="7C5654B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7C5654BC"/>
    <w:multiLevelType w:val="hybridMultilevel"/>
    <w:tmpl w:val="7C5654BC"/>
    <w:lvl w:ilvl="0">
      <w:start w:val="1"/>
      <w:numFmt w:val="bullet"/>
      <w:lvlText w:val="✓"/>
      <w:lvlJc w:val="left"/>
      <w:pPr>
        <w:tabs>
          <w:tab w:val="num" w:pos="720"/>
        </w:tabs>
        <w:ind w:left="720" w:hanging="360"/>
      </w:pPr>
      <w:rPr>
        <w:rFonts w:ascii="Segoe UI Symbol" w:eastAsia="Segoe UI Symbol" w:hAnsi="Segoe UI Symbol" w:cs="Segoe UI Symbol"/>
      </w:rPr>
    </w:lvl>
    <w:lvl w:ilvl="1">
      <w:start w:val="1"/>
      <w:numFmt w:val="bullet"/>
      <w:lvlText w:val="o"/>
      <w:lvlJc w:val="left"/>
      <w:pPr>
        <w:tabs>
          <w:tab w:val="num" w:pos="1440"/>
        </w:tabs>
        <w:ind w:left="1440" w:hanging="360"/>
      </w:pPr>
      <w:rPr>
        <w:rFonts w:ascii="Symbol" w:eastAsia="Symbol" w:hAnsi="Symbol" w:cs="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77177892">
    <w:abstractNumId w:val="24"/>
  </w:num>
  <w:num w:numId="2" w16cid:durableId="882862179">
    <w:abstractNumId w:val="28"/>
  </w:num>
  <w:num w:numId="3" w16cid:durableId="1125149909">
    <w:abstractNumId w:val="1"/>
  </w:num>
  <w:num w:numId="4" w16cid:durableId="979194767">
    <w:abstractNumId w:val="21"/>
  </w:num>
  <w:num w:numId="5" w16cid:durableId="1135949211">
    <w:abstractNumId w:val="10"/>
  </w:num>
  <w:num w:numId="6" w16cid:durableId="987049796">
    <w:abstractNumId w:val="29"/>
  </w:num>
  <w:num w:numId="7" w16cid:durableId="2099935921">
    <w:abstractNumId w:val="4"/>
  </w:num>
  <w:num w:numId="8" w16cid:durableId="1390878430">
    <w:abstractNumId w:val="13"/>
  </w:num>
  <w:num w:numId="9" w16cid:durableId="165680804">
    <w:abstractNumId w:val="18"/>
  </w:num>
  <w:num w:numId="10" w16cid:durableId="1445539250">
    <w:abstractNumId w:val="26"/>
  </w:num>
  <w:num w:numId="11" w16cid:durableId="18943456">
    <w:abstractNumId w:val="12"/>
  </w:num>
  <w:num w:numId="12" w16cid:durableId="1446853127">
    <w:abstractNumId w:val="5"/>
  </w:num>
  <w:num w:numId="13" w16cid:durableId="452557828">
    <w:abstractNumId w:val="3"/>
  </w:num>
  <w:num w:numId="14" w16cid:durableId="222717049">
    <w:abstractNumId w:val="16"/>
  </w:num>
  <w:num w:numId="15" w16cid:durableId="1727685844">
    <w:abstractNumId w:val="19"/>
  </w:num>
  <w:num w:numId="16" w16cid:durableId="163128153">
    <w:abstractNumId w:val="7"/>
  </w:num>
  <w:num w:numId="17" w16cid:durableId="1113554303">
    <w:abstractNumId w:val="2"/>
  </w:num>
  <w:num w:numId="18" w16cid:durableId="1326473564">
    <w:abstractNumId w:val="23"/>
  </w:num>
  <w:num w:numId="19" w16cid:durableId="1981617171">
    <w:abstractNumId w:val="17"/>
  </w:num>
  <w:num w:numId="20" w16cid:durableId="74523104">
    <w:abstractNumId w:val="9"/>
  </w:num>
  <w:num w:numId="21" w16cid:durableId="1700811561">
    <w:abstractNumId w:val="6"/>
  </w:num>
  <w:num w:numId="22" w16cid:durableId="143855414">
    <w:abstractNumId w:val="15"/>
  </w:num>
  <w:num w:numId="23" w16cid:durableId="1498886866">
    <w:abstractNumId w:val="14"/>
  </w:num>
  <w:num w:numId="24" w16cid:durableId="1664772259">
    <w:abstractNumId w:val="30"/>
  </w:num>
  <w:num w:numId="25" w16cid:durableId="2100127906">
    <w:abstractNumId w:val="20"/>
  </w:num>
  <w:num w:numId="26" w16cid:durableId="1657878376">
    <w:abstractNumId w:val="22"/>
  </w:num>
  <w:num w:numId="27" w16cid:durableId="2117557087">
    <w:abstractNumId w:val="8"/>
  </w:num>
  <w:num w:numId="28" w16cid:durableId="69548974">
    <w:abstractNumId w:val="11"/>
  </w:num>
  <w:num w:numId="29" w16cid:durableId="875699361">
    <w:abstractNumId w:val="27"/>
  </w:num>
  <w:num w:numId="30" w16cid:durableId="129247603">
    <w:abstractNumId w:val="25"/>
  </w:num>
  <w:num w:numId="31" w16cid:durableId="935821104">
    <w:abstractNumId w:val="31"/>
  </w:num>
  <w:num w:numId="32">
    <w:abstractNumId w:val="0"/>
  </w:num>
  <w:num w:numId="33">
    <w:abstractNumId w:val="32"/>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B00"/>
    <w:rsid w:val="00002537"/>
    <w:rsid w:val="000070A9"/>
    <w:rsid w:val="00011EB0"/>
    <w:rsid w:val="00020FD1"/>
    <w:rsid w:val="0003200D"/>
    <w:rsid w:val="00032904"/>
    <w:rsid w:val="000513CE"/>
    <w:rsid w:val="00054AE9"/>
    <w:rsid w:val="00075FC5"/>
    <w:rsid w:val="000853EB"/>
    <w:rsid w:val="000911FB"/>
    <w:rsid w:val="000970CD"/>
    <w:rsid w:val="000A169D"/>
    <w:rsid w:val="000A62DD"/>
    <w:rsid w:val="000B21FD"/>
    <w:rsid w:val="000B25DA"/>
    <w:rsid w:val="000C1760"/>
    <w:rsid w:val="000C4CC4"/>
    <w:rsid w:val="000C6E54"/>
    <w:rsid w:val="000D328E"/>
    <w:rsid w:val="000E1AFB"/>
    <w:rsid w:val="000E4BB0"/>
    <w:rsid w:val="000E6B43"/>
    <w:rsid w:val="000E75C6"/>
    <w:rsid w:val="000F118B"/>
    <w:rsid w:val="000F3725"/>
    <w:rsid w:val="000F5454"/>
    <w:rsid w:val="000F6139"/>
    <w:rsid w:val="001075B4"/>
    <w:rsid w:val="00112DD4"/>
    <w:rsid w:val="001234D5"/>
    <w:rsid w:val="00126860"/>
    <w:rsid w:val="0013440D"/>
    <w:rsid w:val="00145CEA"/>
    <w:rsid w:val="00153A96"/>
    <w:rsid w:val="00156E45"/>
    <w:rsid w:val="00163EF0"/>
    <w:rsid w:val="0017070C"/>
    <w:rsid w:val="00173CCD"/>
    <w:rsid w:val="001769B3"/>
    <w:rsid w:val="00176FD6"/>
    <w:rsid w:val="001947AC"/>
    <w:rsid w:val="00194FAC"/>
    <w:rsid w:val="0019606A"/>
    <w:rsid w:val="001B47B6"/>
    <w:rsid w:val="001B4E7F"/>
    <w:rsid w:val="001B6E29"/>
    <w:rsid w:val="001C2E92"/>
    <w:rsid w:val="001C78E3"/>
    <w:rsid w:val="001D4275"/>
    <w:rsid w:val="001E1C60"/>
    <w:rsid w:val="001F75F3"/>
    <w:rsid w:val="00201287"/>
    <w:rsid w:val="00214220"/>
    <w:rsid w:val="002233E3"/>
    <w:rsid w:val="0023187D"/>
    <w:rsid w:val="00233591"/>
    <w:rsid w:val="0024315F"/>
    <w:rsid w:val="0024664F"/>
    <w:rsid w:val="00246C76"/>
    <w:rsid w:val="00251AC1"/>
    <w:rsid w:val="002534E6"/>
    <w:rsid w:val="00266D65"/>
    <w:rsid w:val="00266DD2"/>
    <w:rsid w:val="002670BD"/>
    <w:rsid w:val="0029350B"/>
    <w:rsid w:val="002A5285"/>
    <w:rsid w:val="002A766F"/>
    <w:rsid w:val="002C0255"/>
    <w:rsid w:val="002C7F2B"/>
    <w:rsid w:val="002D3F75"/>
    <w:rsid w:val="002D7F22"/>
    <w:rsid w:val="002E1212"/>
    <w:rsid w:val="002E4A9D"/>
    <w:rsid w:val="00301D69"/>
    <w:rsid w:val="00317081"/>
    <w:rsid w:val="00320DBE"/>
    <w:rsid w:val="00321BFC"/>
    <w:rsid w:val="003359E4"/>
    <w:rsid w:val="003436F8"/>
    <w:rsid w:val="00354317"/>
    <w:rsid w:val="00371915"/>
    <w:rsid w:val="00371BA2"/>
    <w:rsid w:val="00372153"/>
    <w:rsid w:val="00396112"/>
    <w:rsid w:val="003A7A8B"/>
    <w:rsid w:val="003B2CBE"/>
    <w:rsid w:val="003B358F"/>
    <w:rsid w:val="003B55C8"/>
    <w:rsid w:val="003B7B49"/>
    <w:rsid w:val="003C097A"/>
    <w:rsid w:val="003D1130"/>
    <w:rsid w:val="003E2334"/>
    <w:rsid w:val="003E4AE8"/>
    <w:rsid w:val="00401DC8"/>
    <w:rsid w:val="00402EC7"/>
    <w:rsid w:val="0040472B"/>
    <w:rsid w:val="004134E9"/>
    <w:rsid w:val="00414E6F"/>
    <w:rsid w:val="00417ED9"/>
    <w:rsid w:val="00425CE9"/>
    <w:rsid w:val="0045055B"/>
    <w:rsid w:val="004520E7"/>
    <w:rsid w:val="00455FEB"/>
    <w:rsid w:val="00461E05"/>
    <w:rsid w:val="00465A85"/>
    <w:rsid w:val="00477459"/>
    <w:rsid w:val="00481DDD"/>
    <w:rsid w:val="00486837"/>
    <w:rsid w:val="00490A5F"/>
    <w:rsid w:val="00495A96"/>
    <w:rsid w:val="004A32B0"/>
    <w:rsid w:val="004A573A"/>
    <w:rsid w:val="004C4F25"/>
    <w:rsid w:val="004C766E"/>
    <w:rsid w:val="004D7C28"/>
    <w:rsid w:val="004F1C3B"/>
    <w:rsid w:val="00505C4B"/>
    <w:rsid w:val="00510591"/>
    <w:rsid w:val="00516B3F"/>
    <w:rsid w:val="00520D11"/>
    <w:rsid w:val="00522045"/>
    <w:rsid w:val="00522D43"/>
    <w:rsid w:val="005305F0"/>
    <w:rsid w:val="0053299B"/>
    <w:rsid w:val="00550EC5"/>
    <w:rsid w:val="0056376F"/>
    <w:rsid w:val="00566A4A"/>
    <w:rsid w:val="00566AEF"/>
    <w:rsid w:val="005A7107"/>
    <w:rsid w:val="005A7294"/>
    <w:rsid w:val="005B55F6"/>
    <w:rsid w:val="005C2054"/>
    <w:rsid w:val="005E0E32"/>
    <w:rsid w:val="005E1943"/>
    <w:rsid w:val="005E336A"/>
    <w:rsid w:val="005F0D8F"/>
    <w:rsid w:val="005F433F"/>
    <w:rsid w:val="005F4583"/>
    <w:rsid w:val="005F680A"/>
    <w:rsid w:val="00602A33"/>
    <w:rsid w:val="006043CD"/>
    <w:rsid w:val="00604653"/>
    <w:rsid w:val="006166D3"/>
    <w:rsid w:val="00620344"/>
    <w:rsid w:val="00624B2F"/>
    <w:rsid w:val="00625DAA"/>
    <w:rsid w:val="0062617A"/>
    <w:rsid w:val="00626885"/>
    <w:rsid w:val="00637A25"/>
    <w:rsid w:val="0065351A"/>
    <w:rsid w:val="00657A79"/>
    <w:rsid w:val="00670061"/>
    <w:rsid w:val="00672A7D"/>
    <w:rsid w:val="0067605D"/>
    <w:rsid w:val="0068486E"/>
    <w:rsid w:val="00693CF8"/>
    <w:rsid w:val="00693D65"/>
    <w:rsid w:val="00694F25"/>
    <w:rsid w:val="006A15A1"/>
    <w:rsid w:val="006A1D03"/>
    <w:rsid w:val="006B1152"/>
    <w:rsid w:val="006B7F9C"/>
    <w:rsid w:val="006C1131"/>
    <w:rsid w:val="006C18AF"/>
    <w:rsid w:val="006D141A"/>
    <w:rsid w:val="006D482B"/>
    <w:rsid w:val="006E653C"/>
    <w:rsid w:val="006E7112"/>
    <w:rsid w:val="006E7F0F"/>
    <w:rsid w:val="006F12B9"/>
    <w:rsid w:val="006F6834"/>
    <w:rsid w:val="007118BA"/>
    <w:rsid w:val="00713078"/>
    <w:rsid w:val="00714E6B"/>
    <w:rsid w:val="0071770E"/>
    <w:rsid w:val="0072447E"/>
    <w:rsid w:val="007350C4"/>
    <w:rsid w:val="00741BD8"/>
    <w:rsid w:val="007516D9"/>
    <w:rsid w:val="00755159"/>
    <w:rsid w:val="00755B14"/>
    <w:rsid w:val="00756906"/>
    <w:rsid w:val="0076021E"/>
    <w:rsid w:val="00764A43"/>
    <w:rsid w:val="00764BF7"/>
    <w:rsid w:val="00774FDA"/>
    <w:rsid w:val="00780BA6"/>
    <w:rsid w:val="00782B00"/>
    <w:rsid w:val="00787E9B"/>
    <w:rsid w:val="00792125"/>
    <w:rsid w:val="00794C0D"/>
    <w:rsid w:val="0079657F"/>
    <w:rsid w:val="00797F32"/>
    <w:rsid w:val="007A0BF5"/>
    <w:rsid w:val="007A151E"/>
    <w:rsid w:val="007A4513"/>
    <w:rsid w:val="007A705E"/>
    <w:rsid w:val="007B51F0"/>
    <w:rsid w:val="007B56CE"/>
    <w:rsid w:val="007B77A6"/>
    <w:rsid w:val="007C3FBA"/>
    <w:rsid w:val="007C57AF"/>
    <w:rsid w:val="007D0172"/>
    <w:rsid w:val="007D3828"/>
    <w:rsid w:val="007E30E3"/>
    <w:rsid w:val="007E5AC0"/>
    <w:rsid w:val="008019DC"/>
    <w:rsid w:val="00803537"/>
    <w:rsid w:val="00803EC5"/>
    <w:rsid w:val="008073DD"/>
    <w:rsid w:val="008074D4"/>
    <w:rsid w:val="0081418D"/>
    <w:rsid w:val="00814BC7"/>
    <w:rsid w:val="00814DAD"/>
    <w:rsid w:val="0081707F"/>
    <w:rsid w:val="008221C5"/>
    <w:rsid w:val="00833D34"/>
    <w:rsid w:val="00833D9C"/>
    <w:rsid w:val="00853C21"/>
    <w:rsid w:val="00873ADA"/>
    <w:rsid w:val="008775B8"/>
    <w:rsid w:val="00877D32"/>
    <w:rsid w:val="008809CB"/>
    <w:rsid w:val="00884130"/>
    <w:rsid w:val="00893714"/>
    <w:rsid w:val="00897859"/>
    <w:rsid w:val="008B293F"/>
    <w:rsid w:val="008C1635"/>
    <w:rsid w:val="008C3F22"/>
    <w:rsid w:val="008C41E4"/>
    <w:rsid w:val="008C6E74"/>
    <w:rsid w:val="008D3D75"/>
    <w:rsid w:val="008D748A"/>
    <w:rsid w:val="008E22EC"/>
    <w:rsid w:val="00904C94"/>
    <w:rsid w:val="0091518F"/>
    <w:rsid w:val="00917C10"/>
    <w:rsid w:val="00926860"/>
    <w:rsid w:val="009337AC"/>
    <w:rsid w:val="0093562A"/>
    <w:rsid w:val="0094051C"/>
    <w:rsid w:val="00945A08"/>
    <w:rsid w:val="00956E15"/>
    <w:rsid w:val="00957A33"/>
    <w:rsid w:val="00971AF2"/>
    <w:rsid w:val="00974121"/>
    <w:rsid w:val="009842AD"/>
    <w:rsid w:val="0098739B"/>
    <w:rsid w:val="0099335B"/>
    <w:rsid w:val="009972E9"/>
    <w:rsid w:val="009A128A"/>
    <w:rsid w:val="009A323E"/>
    <w:rsid w:val="009A6103"/>
    <w:rsid w:val="009B42E6"/>
    <w:rsid w:val="009B789C"/>
    <w:rsid w:val="009D7141"/>
    <w:rsid w:val="00A024E9"/>
    <w:rsid w:val="00A14DA2"/>
    <w:rsid w:val="00A20A87"/>
    <w:rsid w:val="00A25B5B"/>
    <w:rsid w:val="00A25E2F"/>
    <w:rsid w:val="00A31E55"/>
    <w:rsid w:val="00A3231B"/>
    <w:rsid w:val="00A33C94"/>
    <w:rsid w:val="00A37A26"/>
    <w:rsid w:val="00A46556"/>
    <w:rsid w:val="00A5211C"/>
    <w:rsid w:val="00A61076"/>
    <w:rsid w:val="00A610D3"/>
    <w:rsid w:val="00A71489"/>
    <w:rsid w:val="00A72C3C"/>
    <w:rsid w:val="00A7738C"/>
    <w:rsid w:val="00A8662C"/>
    <w:rsid w:val="00A9280D"/>
    <w:rsid w:val="00A9498D"/>
    <w:rsid w:val="00A96542"/>
    <w:rsid w:val="00AA46CA"/>
    <w:rsid w:val="00AA59C4"/>
    <w:rsid w:val="00AC6FA2"/>
    <w:rsid w:val="00AD6C25"/>
    <w:rsid w:val="00AE1ACC"/>
    <w:rsid w:val="00AF4290"/>
    <w:rsid w:val="00B00260"/>
    <w:rsid w:val="00B00992"/>
    <w:rsid w:val="00B0712F"/>
    <w:rsid w:val="00B078E6"/>
    <w:rsid w:val="00B1574D"/>
    <w:rsid w:val="00B1685A"/>
    <w:rsid w:val="00B23348"/>
    <w:rsid w:val="00B233FA"/>
    <w:rsid w:val="00B34CD1"/>
    <w:rsid w:val="00B4280D"/>
    <w:rsid w:val="00B501C5"/>
    <w:rsid w:val="00B52EC9"/>
    <w:rsid w:val="00B567EE"/>
    <w:rsid w:val="00B60B3D"/>
    <w:rsid w:val="00B62FF8"/>
    <w:rsid w:val="00B63BA7"/>
    <w:rsid w:val="00B74C61"/>
    <w:rsid w:val="00B7607E"/>
    <w:rsid w:val="00B82CC7"/>
    <w:rsid w:val="00B86A5F"/>
    <w:rsid w:val="00B9156A"/>
    <w:rsid w:val="00B94D7E"/>
    <w:rsid w:val="00B95947"/>
    <w:rsid w:val="00BA0E1B"/>
    <w:rsid w:val="00BB0456"/>
    <w:rsid w:val="00BB349F"/>
    <w:rsid w:val="00BB4918"/>
    <w:rsid w:val="00BB52EA"/>
    <w:rsid w:val="00BB5985"/>
    <w:rsid w:val="00BC5CE9"/>
    <w:rsid w:val="00BC6C3E"/>
    <w:rsid w:val="00BD37A5"/>
    <w:rsid w:val="00BD536C"/>
    <w:rsid w:val="00BE22E2"/>
    <w:rsid w:val="00BE72CC"/>
    <w:rsid w:val="00BF1983"/>
    <w:rsid w:val="00C0608C"/>
    <w:rsid w:val="00C12CF4"/>
    <w:rsid w:val="00C16CCE"/>
    <w:rsid w:val="00C17243"/>
    <w:rsid w:val="00C24858"/>
    <w:rsid w:val="00C25DA1"/>
    <w:rsid w:val="00C3318C"/>
    <w:rsid w:val="00C35B6A"/>
    <w:rsid w:val="00C40631"/>
    <w:rsid w:val="00C41A7B"/>
    <w:rsid w:val="00C42B55"/>
    <w:rsid w:val="00C4379B"/>
    <w:rsid w:val="00C44847"/>
    <w:rsid w:val="00C4544D"/>
    <w:rsid w:val="00C46815"/>
    <w:rsid w:val="00C624A5"/>
    <w:rsid w:val="00C67A9D"/>
    <w:rsid w:val="00C746E0"/>
    <w:rsid w:val="00C931E4"/>
    <w:rsid w:val="00CA2401"/>
    <w:rsid w:val="00CA2EC3"/>
    <w:rsid w:val="00CA3A86"/>
    <w:rsid w:val="00CA43C5"/>
    <w:rsid w:val="00CB4C02"/>
    <w:rsid w:val="00CB649F"/>
    <w:rsid w:val="00CC06D4"/>
    <w:rsid w:val="00CC4956"/>
    <w:rsid w:val="00CC5A8E"/>
    <w:rsid w:val="00CD4E11"/>
    <w:rsid w:val="00CD72FF"/>
    <w:rsid w:val="00CD7BBC"/>
    <w:rsid w:val="00CE05B5"/>
    <w:rsid w:val="00CF014C"/>
    <w:rsid w:val="00CF34D2"/>
    <w:rsid w:val="00CF4439"/>
    <w:rsid w:val="00CF66C0"/>
    <w:rsid w:val="00D0304B"/>
    <w:rsid w:val="00D05B72"/>
    <w:rsid w:val="00D10461"/>
    <w:rsid w:val="00D16362"/>
    <w:rsid w:val="00D2258D"/>
    <w:rsid w:val="00D31D73"/>
    <w:rsid w:val="00D325B2"/>
    <w:rsid w:val="00D4130B"/>
    <w:rsid w:val="00D43A6B"/>
    <w:rsid w:val="00D60195"/>
    <w:rsid w:val="00D62F64"/>
    <w:rsid w:val="00D70872"/>
    <w:rsid w:val="00D8338E"/>
    <w:rsid w:val="00D85898"/>
    <w:rsid w:val="00D86E13"/>
    <w:rsid w:val="00D90DA2"/>
    <w:rsid w:val="00D94A1D"/>
    <w:rsid w:val="00D955C2"/>
    <w:rsid w:val="00DA6442"/>
    <w:rsid w:val="00DA756F"/>
    <w:rsid w:val="00DA79E6"/>
    <w:rsid w:val="00DB4A21"/>
    <w:rsid w:val="00DB57B7"/>
    <w:rsid w:val="00DB647D"/>
    <w:rsid w:val="00DC507A"/>
    <w:rsid w:val="00DD4901"/>
    <w:rsid w:val="00DE6377"/>
    <w:rsid w:val="00DF3F9C"/>
    <w:rsid w:val="00E01C78"/>
    <w:rsid w:val="00E1623F"/>
    <w:rsid w:val="00E17948"/>
    <w:rsid w:val="00E23CB1"/>
    <w:rsid w:val="00E241E9"/>
    <w:rsid w:val="00E26755"/>
    <w:rsid w:val="00E36F57"/>
    <w:rsid w:val="00E378A6"/>
    <w:rsid w:val="00E44323"/>
    <w:rsid w:val="00E47D53"/>
    <w:rsid w:val="00E5063B"/>
    <w:rsid w:val="00E5662E"/>
    <w:rsid w:val="00E658DF"/>
    <w:rsid w:val="00E8060B"/>
    <w:rsid w:val="00E813CC"/>
    <w:rsid w:val="00E81F12"/>
    <w:rsid w:val="00E928C8"/>
    <w:rsid w:val="00E928E5"/>
    <w:rsid w:val="00E944BA"/>
    <w:rsid w:val="00EA0DC3"/>
    <w:rsid w:val="00EA12C1"/>
    <w:rsid w:val="00EA3824"/>
    <w:rsid w:val="00EA786A"/>
    <w:rsid w:val="00EB0702"/>
    <w:rsid w:val="00EB28B9"/>
    <w:rsid w:val="00EC008D"/>
    <w:rsid w:val="00EC1049"/>
    <w:rsid w:val="00EC22E0"/>
    <w:rsid w:val="00EC3CEA"/>
    <w:rsid w:val="00ED3AE4"/>
    <w:rsid w:val="00ED5365"/>
    <w:rsid w:val="00ED6887"/>
    <w:rsid w:val="00ED6995"/>
    <w:rsid w:val="00ED7666"/>
    <w:rsid w:val="00EE6197"/>
    <w:rsid w:val="00EF1940"/>
    <w:rsid w:val="00EF442E"/>
    <w:rsid w:val="00F01368"/>
    <w:rsid w:val="00F05E15"/>
    <w:rsid w:val="00F14998"/>
    <w:rsid w:val="00F151AD"/>
    <w:rsid w:val="00F169FC"/>
    <w:rsid w:val="00F33052"/>
    <w:rsid w:val="00F3378D"/>
    <w:rsid w:val="00F33ADE"/>
    <w:rsid w:val="00F34DD5"/>
    <w:rsid w:val="00F35097"/>
    <w:rsid w:val="00F41C47"/>
    <w:rsid w:val="00F5050F"/>
    <w:rsid w:val="00F53705"/>
    <w:rsid w:val="00F556B6"/>
    <w:rsid w:val="00F74764"/>
    <w:rsid w:val="00F857F6"/>
    <w:rsid w:val="00F85FF6"/>
    <w:rsid w:val="00FB0B5C"/>
    <w:rsid w:val="00FB3768"/>
    <w:rsid w:val="00FC4985"/>
    <w:rsid w:val="00FC6B2E"/>
    <w:rsid w:val="00FD0317"/>
    <w:rsid w:val="00FD3368"/>
    <w:rsid w:val="00FF35DB"/>
    <w:rsid w:val="00FF565F"/>
  </w:rsids>
  <m:mathPr>
    <m:mathFont m:val="Cambria Math"/>
  </m:mathPr>
  <w:themeFontLang w:val="en-CA"/>
  <w:clrSchemeMapping w:bg1="light1" w:t1="dark1" w:bg2="light2" w:t2="dark2" w:accent1="accent1" w:accent2="accent2" w:accent3="accent3" w:accent4="accent4" w:accent5="accent5" w:accent6="accent6" w:hyperlink="hyperlink" w:followedHyperlink="followedHyperlink"/>
  <w14:docId w14:val="709B527C"/>
  <w15:chartTrackingRefBased/>
  <w15:docId w15:val="{12419E17-88F7-7A4E-AAC2-0F7298B1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semiHidden/>
    <w:qFormat/>
    <w:rsid w:val="000B25DA"/>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0B25DA"/>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0B25DA"/>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0B25DA"/>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B25DA"/>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782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0B25DA"/>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0B25D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B25DA"/>
    <w:rPr>
      <w:rFonts w:eastAsiaTheme="majorEastAsia" w:cstheme="majorBidi"/>
      <w:sz w:val="28"/>
      <w:szCs w:val="28"/>
    </w:rPr>
  </w:style>
  <w:style w:type="character" w:customStyle="1" w:styleId="Heading4Char">
    <w:name w:val="Heading 4 Char"/>
    <w:basedOn w:val="DefaultParagraphFont"/>
    <w:link w:val="Heading4"/>
    <w:uiPriority w:val="9"/>
    <w:semiHidden/>
    <w:rsid w:val="000B25DA"/>
    <w:rPr>
      <w:rFonts w:eastAsiaTheme="majorEastAsia" w:cstheme="majorBidi"/>
      <w:i/>
      <w:iCs/>
    </w:rPr>
  </w:style>
  <w:style w:type="character" w:customStyle="1" w:styleId="Heading5Char">
    <w:name w:val="Heading 5 Char"/>
    <w:basedOn w:val="DefaultParagraphFont"/>
    <w:link w:val="Heading5"/>
    <w:uiPriority w:val="9"/>
    <w:semiHidden/>
    <w:rsid w:val="000B25DA"/>
    <w:rPr>
      <w:rFonts w:eastAsiaTheme="majorEastAsia" w:cstheme="majorBidi"/>
    </w:rPr>
  </w:style>
  <w:style w:type="character" w:customStyle="1" w:styleId="Heading6Char">
    <w:name w:val="Heading 6 Char"/>
    <w:basedOn w:val="DefaultParagraphFont"/>
    <w:link w:val="Heading6"/>
    <w:uiPriority w:val="9"/>
    <w:semiHidden/>
    <w:rsid w:val="00782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B00"/>
    <w:rPr>
      <w:rFonts w:eastAsiaTheme="majorEastAsia" w:cstheme="majorBidi"/>
      <w:color w:val="272727" w:themeColor="text1" w:themeTint="D8"/>
    </w:rPr>
  </w:style>
  <w:style w:type="paragraph" w:styleId="Title">
    <w:name w:val="Title"/>
    <w:basedOn w:val="Normal"/>
    <w:next w:val="Normal"/>
    <w:link w:val="TitleChar"/>
    <w:uiPriority w:val="10"/>
    <w:semiHidden/>
    <w:qFormat/>
    <w:rsid w:val="00782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782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rsid w:val="00782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782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782B00"/>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782B00"/>
    <w:rPr>
      <w:i/>
      <w:iCs/>
      <w:color w:val="404040" w:themeColor="text1" w:themeTint="BF"/>
    </w:rPr>
  </w:style>
  <w:style w:type="paragraph" w:styleId="ListParagraph">
    <w:name w:val="List Paragraph"/>
    <w:basedOn w:val="Normal"/>
    <w:uiPriority w:val="34"/>
    <w:semiHidden/>
    <w:qFormat/>
    <w:rsid w:val="00782B00"/>
    <w:pPr>
      <w:ind w:left="720"/>
      <w:contextualSpacing/>
    </w:pPr>
  </w:style>
  <w:style w:type="character" w:styleId="IntenseEmphasis">
    <w:name w:val="Intense Emphasis"/>
    <w:basedOn w:val="DefaultParagraphFont"/>
    <w:uiPriority w:val="21"/>
    <w:semiHidden/>
    <w:qFormat/>
    <w:rsid w:val="00782B00"/>
    <w:rPr>
      <w:i/>
      <w:iCs/>
      <w:color w:val="0F4761" w:themeColor="accent1" w:themeShade="BF"/>
    </w:rPr>
  </w:style>
  <w:style w:type="paragraph" w:styleId="IntenseQuote">
    <w:name w:val="Intense Quote"/>
    <w:basedOn w:val="Normal"/>
    <w:next w:val="Normal"/>
    <w:link w:val="IntenseQuoteChar"/>
    <w:uiPriority w:val="30"/>
    <w:semiHidden/>
    <w:qFormat/>
    <w:rsid w:val="00782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782B00"/>
    <w:rPr>
      <w:i/>
      <w:iCs/>
      <w:color w:val="0F4761" w:themeColor="accent1" w:themeShade="BF"/>
    </w:rPr>
  </w:style>
  <w:style w:type="character" w:styleId="IntenseReference">
    <w:name w:val="Intense Reference"/>
    <w:basedOn w:val="DefaultParagraphFont"/>
    <w:uiPriority w:val="32"/>
    <w:semiHidden/>
    <w:qFormat/>
    <w:rsid w:val="00782B00"/>
    <w:rPr>
      <w:b/>
      <w:bCs/>
      <w:smallCaps/>
      <w:color w:val="0F4761" w:themeColor="accent1" w:themeShade="BF"/>
      <w:spacing w:val="5"/>
    </w:rPr>
  </w:style>
  <w:style w:type="paragraph" w:customStyle="1" w:styleId="p1">
    <w:name w:val="p1"/>
    <w:basedOn w:val="Normal"/>
    <w:semiHidden/>
    <w:rsid w:val="00782B00"/>
    <w:pPr>
      <w:spacing w:after="0" w:line="240" w:lineRule="auto"/>
    </w:pPr>
    <w:rPr>
      <w:rFonts w:ascii="Helvetica" w:eastAsia="Times New Roman" w:hAnsi="Helvetica" w:cs="Times New Roman"/>
      <w:color w:val="000000"/>
      <w:kern w:val="0"/>
      <w:sz w:val="48"/>
      <w:szCs w:val="48"/>
      <w14:ligatures w14:val="none"/>
    </w:rPr>
  </w:style>
  <w:style w:type="paragraph" w:customStyle="1" w:styleId="p2">
    <w:name w:val="p2"/>
    <w:basedOn w:val="Normal"/>
    <w:semiHidden/>
    <w:rsid w:val="00782B00"/>
    <w:pPr>
      <w:spacing w:after="0" w:line="240" w:lineRule="auto"/>
    </w:pPr>
    <w:rPr>
      <w:rFonts w:ascii="Helvetica" w:eastAsia="Times New Roman" w:hAnsi="Helvetica" w:cs="Times New Roman"/>
      <w:color w:val="000000"/>
      <w:kern w:val="0"/>
      <w14:ligatures w14:val="none"/>
    </w:rPr>
  </w:style>
  <w:style w:type="paragraph" w:customStyle="1" w:styleId="p3">
    <w:name w:val="p3"/>
    <w:basedOn w:val="Normal"/>
    <w:semiHidden/>
    <w:rsid w:val="00782B00"/>
    <w:pPr>
      <w:spacing w:after="0" w:line="240" w:lineRule="auto"/>
    </w:pPr>
    <w:rPr>
      <w:rFonts w:ascii="Helvetica" w:eastAsia="Times New Roman" w:hAnsi="Helvetica" w:cs="Times New Roman"/>
      <w:color w:val="000000"/>
      <w:kern w:val="0"/>
      <w:sz w:val="36"/>
      <w:szCs w:val="36"/>
      <w14:ligatures w14:val="none"/>
    </w:rPr>
  </w:style>
  <w:style w:type="paragraph" w:customStyle="1" w:styleId="Report-Heading">
    <w:name w:val="Report - Heading"/>
    <w:basedOn w:val="p1"/>
    <w:qFormat/>
    <w:rsid w:val="00ED5365"/>
    <w:rPr>
      <w:rFonts w:ascii="Arial" w:hAnsi="Arial" w:cs="Arial"/>
      <w:sz w:val="36"/>
    </w:rPr>
  </w:style>
  <w:style w:type="paragraph" w:customStyle="1" w:styleId="Report-Body">
    <w:name w:val="Report - Body"/>
    <w:basedOn w:val="p2"/>
    <w:qFormat/>
    <w:rsid w:val="00D325B2"/>
    <w:rPr>
      <w:rFonts w:ascii="Arial" w:hAnsi="Arial" w:cs="Arial"/>
      <w:color w:val="1D1D1D"/>
      <w:szCs w:val="32"/>
    </w:rPr>
  </w:style>
  <w:style w:type="paragraph" w:customStyle="1" w:styleId="Report-BodyLink">
    <w:name w:val="Report - Body Link"/>
    <w:basedOn w:val="Report-Body"/>
    <w:semiHidden/>
    <w:qFormat/>
    <w:rsid w:val="00782B00"/>
    <w:rPr>
      <w:color w:val="013CB3"/>
      <w:u w:val="single"/>
    </w:rPr>
  </w:style>
  <w:style w:type="paragraph" w:customStyle="1" w:styleId="Report-SubheadLvl1">
    <w:name w:val="Report - Subhead Lvl. 1"/>
    <w:basedOn w:val="p3"/>
    <w:qFormat/>
    <w:rsid w:val="000B25DA"/>
    <w:rPr>
      <w:rFonts w:ascii="Arial" w:hAnsi="Arial" w:cs="Arial"/>
      <w:b/>
      <w:bCs/>
      <w:color w:val="auto"/>
      <w:sz w:val="26"/>
      <w:szCs w:val="40"/>
    </w:rPr>
  </w:style>
  <w:style w:type="paragraph" w:styleId="Header">
    <w:name w:val="header"/>
    <w:basedOn w:val="Normal"/>
    <w:link w:val="HeaderChar"/>
    <w:uiPriority w:val="99"/>
    <w:unhideWhenUsed/>
    <w:rsid w:val="00FB37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3768"/>
  </w:style>
  <w:style w:type="paragraph" w:styleId="Footer">
    <w:name w:val="footer"/>
    <w:basedOn w:val="Normal"/>
    <w:link w:val="FooterChar"/>
    <w:uiPriority w:val="99"/>
    <w:unhideWhenUsed/>
    <w:rsid w:val="00FB376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3768"/>
  </w:style>
  <w:style w:type="character" w:styleId="PageNumber">
    <w:name w:val="page number"/>
    <w:basedOn w:val="DefaultParagraphFont"/>
    <w:uiPriority w:val="99"/>
    <w:semiHidden/>
    <w:unhideWhenUsed/>
    <w:rsid w:val="0071770E"/>
  </w:style>
  <w:style w:type="character" w:styleId="Hyperlink">
    <w:name w:val="Hyperlink"/>
    <w:basedOn w:val="DefaultParagraphFont"/>
    <w:uiPriority w:val="99"/>
    <w:unhideWhenUsed/>
    <w:rsid w:val="0093562A"/>
    <w:rPr>
      <w:color w:val="467886" w:themeColor="hyperlink"/>
      <w:u w:val="single"/>
    </w:rPr>
  </w:style>
  <w:style w:type="character" w:styleId="UnresolvedMention">
    <w:name w:val="Unresolved Mention"/>
    <w:basedOn w:val="DefaultParagraphFont"/>
    <w:uiPriority w:val="99"/>
    <w:semiHidden/>
    <w:unhideWhenUsed/>
    <w:rsid w:val="0093562A"/>
    <w:rPr>
      <w:color w:val="605E5C"/>
      <w:shd w:val="clear" w:color="auto" w:fill="E1DFDD"/>
    </w:rPr>
  </w:style>
  <w:style w:type="character" w:customStyle="1" w:styleId="normaltextrun">
    <w:name w:val="normaltextrun"/>
    <w:basedOn w:val="DefaultParagraphFont"/>
    <w:semiHidden/>
    <w:rsid w:val="00C46815"/>
  </w:style>
  <w:style w:type="paragraph" w:customStyle="1" w:styleId="paragraph">
    <w:name w:val="paragraph"/>
    <w:basedOn w:val="Normal"/>
    <w:semiHidden/>
    <w:rsid w:val="00D325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op">
    <w:name w:val="eop"/>
    <w:basedOn w:val="DefaultParagraphFont"/>
    <w:semiHidden/>
    <w:rsid w:val="00D325B2"/>
  </w:style>
  <w:style w:type="character" w:customStyle="1" w:styleId="scxw5419088">
    <w:name w:val="scxw5419088"/>
    <w:basedOn w:val="DefaultParagraphFont"/>
    <w:semiHidden/>
    <w:rsid w:val="003B55C8"/>
  </w:style>
  <w:style w:type="paragraph" w:customStyle="1" w:styleId="Report-Subhead-Lvl2">
    <w:name w:val="Report - Subhead - Lvl. 2"/>
    <w:basedOn w:val="Report-Body"/>
    <w:semiHidden/>
    <w:qFormat/>
    <w:rsid w:val="00ED6887"/>
    <w:rPr>
      <w:color w:val="auto"/>
    </w:rPr>
  </w:style>
  <w:style w:type="paragraph" w:customStyle="1" w:styleId="Report-Metadata">
    <w:name w:val="Report - Metadata"/>
    <w:basedOn w:val="Report-Body"/>
    <w:qFormat/>
    <w:rsid w:val="00F34DD5"/>
    <w:pPr>
      <w:ind w:left="720"/>
    </w:pPr>
    <w:rPr>
      <w:b/>
      <w:bCs/>
      <w:sz w:val="18"/>
      <w:szCs w:val="16"/>
    </w:rPr>
  </w:style>
  <w:style w:type="character" w:customStyle="1" w:styleId="scxw86120433">
    <w:name w:val="scxw86120433"/>
    <w:basedOn w:val="DefaultParagraphFont"/>
    <w:semiHidden/>
    <w:rsid w:val="00756906"/>
  </w:style>
  <w:style w:type="paragraph" w:customStyle="1" w:styleId="Report-SnippetSubheadLvl3">
    <w:name w:val="Report - Snippet Subhead Lvl. 3"/>
    <w:basedOn w:val="Report-Body"/>
    <w:next w:val="Report-Body"/>
    <w:semiHidden/>
    <w:qFormat/>
    <w:rsid w:val="00D10461"/>
    <w:pPr>
      <w:spacing w:before="240" w:after="240"/>
      <w:ind w:left="143" w:right="134"/>
    </w:pPr>
    <w:rPr>
      <w:rFonts w:eastAsiaTheme="majorEastAsia"/>
      <w:b/>
      <w:bCs/>
    </w:rPr>
  </w:style>
  <w:style w:type="paragraph" w:customStyle="1" w:styleId="Report-MetadataDOT">
    <w:name w:val="Report - Metadata DOT"/>
    <w:basedOn w:val="Report-Body"/>
    <w:semiHidden/>
    <w:qFormat/>
    <w:rsid w:val="0081707F"/>
    <w:pPr>
      <w:ind w:left="720"/>
    </w:pPr>
    <w:rPr>
      <w:rFonts w:eastAsiaTheme="majorEastAsia"/>
      <w:b/>
      <w:bCs/>
      <w:color w:val="7F7F7F" w:themeColor="text1" w:themeTint="80"/>
      <w:sz w:val="16"/>
      <w:szCs w:val="16"/>
    </w:rPr>
  </w:style>
  <w:style w:type="character" w:customStyle="1" w:styleId="scxw58347994">
    <w:name w:val="scxw58347994"/>
    <w:basedOn w:val="DefaultParagraphFont"/>
    <w:semiHidden/>
    <w:rsid w:val="007B77A6"/>
  </w:style>
  <w:style w:type="character" w:styleId="PlaceholderText">
    <w:name w:val="Placeholder Text"/>
    <w:basedOn w:val="DefaultParagraphFont"/>
    <w:uiPriority w:val="99"/>
    <w:semiHidden/>
    <w:rsid w:val="002233E3"/>
    <w:rPr>
      <w:color w:val="666666"/>
    </w:rPr>
  </w:style>
  <w:style w:type="table" w:styleId="TableGrid">
    <w:name w:val="Table Grid"/>
    <w:basedOn w:val="TableNormal"/>
    <w:uiPriority w:val="39"/>
    <w:semiHidden/>
    <w:rsid w:val="009A61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ummaryAndSnippets">
    <w:name w:val="SummaryAndSnippets"/>
    <w:basedOn w:val="TableNormal"/>
    <w:uiPriority w:val="99"/>
    <w:rsid w:val="009A6103"/>
    <w:pPr>
      <w:spacing w:after="0" w:line="240" w:lineRule="auto"/>
    </w:pPr>
    <w:rPr>
      <w:rFonts w:ascii="Arial" w:hAnsi="Arial"/>
    </w:rPr>
    <w:tblPr>
      <w:tblInd w:w="706" w:type="dxa"/>
      <w:tblBorders>
        <w:top w:val="single" w:sz="6" w:space="0" w:color="E8E8E8"/>
        <w:left w:val="single" w:sz="6" w:space="0" w:color="E8E8E8"/>
        <w:bottom w:val="single" w:sz="6" w:space="0" w:color="E8E8E8"/>
        <w:right w:val="single" w:sz="6" w:space="0" w:color="E8E8E8"/>
        <w:insideH w:val="single" w:sz="6" w:space="0" w:color="E8E8E8"/>
        <w:insideV w:val="single" w:sz="6" w:space="0" w:color="E8E8E8"/>
      </w:tblBorders>
      <w:tblCellMar>
        <w:top w:w="173" w:type="dxa"/>
        <w:left w:w="173" w:type="dxa"/>
        <w:bottom w:w="173" w:type="dxa"/>
        <w:right w:w="173" w:type="dxa"/>
      </w:tblCellMar>
    </w:tblPr>
    <w:tcPr>
      <w:shd w:val="clear" w:color="auto" w:fill="auto"/>
    </w:tcPr>
  </w:style>
  <w:style w:type="table" w:customStyle="1" w:styleId="AnswerBody">
    <w:name w:val="AnswerBody"/>
    <w:basedOn w:val="SummaryAndSnippets"/>
    <w:uiPriority w:val="99"/>
    <w:semiHidden/>
    <w:rsid w:val="007E5AC0"/>
    <w:tblPr>
      <w:tblInd w:w="0" w:type="dxa"/>
    </w:tblPr>
  </w:style>
  <w:style w:type="numbering" w:customStyle="1" w:styleId="ResearchSteps">
    <w:name w:val="ResearchSteps"/>
    <w:uiPriority w:val="99"/>
    <w:semiHidden/>
    <w:rsid w:val="000A62DD"/>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1.next.westlaw.com/Document/I84d107d08e3611d9bc61beebb95be672/View/FullText.html?transitionType=AIGuidedResearch&amp;contextData=%28sc.Default%29&amp;list=All&amp;listSource=WebsiteInternal&amp;conversationId=b9c5ac00-5e72-4701-9b49-c9c6678a14ff" TargetMode="External" /><Relationship Id="rId11" Type="http://schemas.openxmlformats.org/officeDocument/2006/relationships/hyperlink" Target="https://1.next.westlaw.com/Link/RelatedInformation/Flag?docGuid=I9c8b593657a711e4b4bafa136b480ad2&amp;ppcid=i0a8997b50000019c2611032d61b983d9&amp;transitionType=AIGuidedResearch&amp;contextData=%28sc.Default%29&amp;conversationId=b9c5ac00-5e72-4701-9b49-c9c6678a14ff" TargetMode="External" /><Relationship Id="rId12" Type="http://schemas.openxmlformats.org/officeDocument/2006/relationships/hyperlink" Target="https://1.next.westlaw.com/Document/I9c8b593657a711e4b4bafa136b480ad2/View/FullText.html?transitionType=AIGuidedResearch&amp;contextData=%28sc.Default%29&amp;list=All&amp;listSource=WebsiteInternal&amp;conversationId=b9c5ac00-5e72-4701-9b49-c9c6678a14ff" TargetMode="External" /><Relationship Id="rId13" Type="http://schemas.openxmlformats.org/officeDocument/2006/relationships/hyperlink" Target="https://1.next.westlaw.com/Link/RelatedInformation/Flag?docGuid=I653be189561711d997e0acd5cbb90d3f&amp;ppcid=i0a8997b50000019c2611032d61b983d9&amp;transitionType=AIGuidedResearch&amp;contextData=%28sc.Default%29&amp;conversationId=b9c5ac00-5e72-4701-9b49-c9c6678a14ff" TargetMode="External" /><Relationship Id="rId14" Type="http://schemas.openxmlformats.org/officeDocument/2006/relationships/hyperlink" Target="https://1.next.westlaw.com/Document/I653be189561711d997e0acd5cbb90d3f/View/FullText.html?transitionType=AIGuidedResearch&amp;contextData=%28sc.Default%29&amp;list=All&amp;listSource=WebsiteInternal&amp;conversationId=b9c5ac00-5e72-4701-9b49-c9c6678a14ff" TargetMode="External" /><Relationship Id="rId15" Type="http://schemas.openxmlformats.org/officeDocument/2006/relationships/hyperlink" Target="https://1.next.westlaw.com/Link/RelatedInformation/Flag?docGuid=I03d2ed4f80e111e590d4edf60ce7d742&amp;ppcid=i0a8997b50000019c2611032d61b983d9&amp;transitionType=AIGuidedResearch&amp;contextData=%28sc.Default%29&amp;conversationId=b9c5ac00-5e72-4701-9b49-c9c6678a14ff" TargetMode="External" /><Relationship Id="rId16" Type="http://schemas.openxmlformats.org/officeDocument/2006/relationships/hyperlink" Target="https://1.next.westlaw.com/Document/I03d2ed4f80e111e590d4edf60ce7d742/View/FullText.html?transitionType=AIGuidedResearch&amp;contextData=%28sc.Default%29&amp;list=All&amp;listSource=WebsiteInternal&amp;conversationId=b9c5ac00-5e72-4701-9b49-c9c6678a14ff" TargetMode="External" /><Relationship Id="rId17" Type="http://schemas.openxmlformats.org/officeDocument/2006/relationships/hyperlink" Target="https://1.next.westlaw.com/Document/I48e243a0836e11e998e8870e22e55653/View/FullText.html?transitionType=AIGuidedResearch&amp;contextData=%28sc.Default%29&amp;list=All&amp;listSource=WebsiteInternal&amp;conversationId=b9c5ac00-5e72-4701-9b49-c9c6678a14ff" TargetMode="External" /><Relationship Id="rId18" Type="http://schemas.openxmlformats.org/officeDocument/2006/relationships/hyperlink" Target="https://1.next.westlaw.com/Document/Id6d4eec2f6e711ec9b72d8ed986adeff/View/FullText.html?transitionType=AIGuidedResearch&amp;contextData=%28sc.Default%29&amp;list=All&amp;listSource=WebsiteInternal&amp;conversationId=b9c5ac00-5e72-4701-9b49-c9c6678a14ff" TargetMode="External" /><Relationship Id="rId19" Type="http://schemas.openxmlformats.org/officeDocument/2006/relationships/hyperlink" Target="https://1.next.westlaw.com/Document/I832d76dbda2a11de985febecd972f1fd/View/FullText.html?transitionType=AIGuidedResearch&amp;contextData=%28sc.Default%29&amp;list=All&amp;listSource=WebsiteInternal&amp;conversationId=b9c5ac00-5e72-4701-9b49-c9c6678a14ff" TargetMode="External" /><Relationship Id="rId2" Type="http://schemas.openxmlformats.org/officeDocument/2006/relationships/webSettings" Target="webSettings.xml" /><Relationship Id="rId20" Type="http://schemas.openxmlformats.org/officeDocument/2006/relationships/hyperlink" Target="https://1.next.westlaw.com/Document/I0ad352b7875d11d9bd71ac8ee3d93625/View/FullText.html?transitionType=AIGuidedResearch&amp;contextData=%28sc.Default%29&amp;list=All&amp;listSource=WebsiteInternal&amp;conversationId=b9c5ac00-5e72-4701-9b49-c9c6678a14ff" TargetMode="External" /><Relationship Id="rId21" Type="http://schemas.openxmlformats.org/officeDocument/2006/relationships/hyperlink" Target="https://1.next.westlaw.com/Document/Ie71f1825f54a11d9b758ca3439fd0767/View/FullText.html?transitionType=AIGuidedResearch&amp;contextData=%28sc.Default%29&amp;list=All&amp;listSource=WebsiteInternal&amp;conversationId=b9c5ac00-5e72-4701-9b49-c9c6678a14ff" TargetMode="External" /><Relationship Id="rId22" Type="http://schemas.openxmlformats.org/officeDocument/2006/relationships/hyperlink" Target="https://1.next.westlaw.com/Document/Ia61d9882e66b11eda5448e3fe38b0840/View/FullText.html?transitionType=AIGuidedResearch&amp;contextData=%28sc.Default%29&amp;list=All&amp;listSource=WebsiteInternal&amp;conversationId=b9c5ac00-5e72-4701-9b49-c9c6678a14ff" TargetMode="External" /><Relationship Id="rId23" Type="http://schemas.openxmlformats.org/officeDocument/2006/relationships/hyperlink" Target="https://1.next.westlaw.com/Document/Ib8c32862719e11da9907dfbe13053825/View/FullText.html?transitionType=AIGuidedResearch&amp;contextData=%28sc.Default%29&amp;list=All&amp;listSource=WebsiteInternal&amp;conversationId=b9c5ac00-5e72-4701-9b49-c9c6678a14ff" TargetMode="External" /><Relationship Id="rId24" Type="http://schemas.openxmlformats.org/officeDocument/2006/relationships/hyperlink" Target="https://1.next.westlaw.com/Document/If09d37f7010a11ee8921fbef1a541940/View/FullText.html?transitionType=AIGuidedResearch&amp;contextData=%28sc.Default%29&amp;list=All&amp;listSource=WebsiteInternal&amp;conversationId=b9c5ac00-5e72-4701-9b49-c9c6678a14ff" TargetMode="External" /><Relationship Id="rId25" Type="http://schemas.openxmlformats.org/officeDocument/2006/relationships/hyperlink" Target="https://1.next.westlaw.com/Document/Ie6ee7f91417c11e89bf199c0ee06c731/View/FullText.html?transitionType=AIGuidedResearch&amp;contextData=%28sc.Default%29&amp;list=All&amp;listSource=WebsiteInternal&amp;conversationId=b9c5ac00-5e72-4701-9b49-c9c6678a14ff" TargetMode="External" /><Relationship Id="rId26" Type="http://schemas.openxmlformats.org/officeDocument/2006/relationships/hyperlink" Target="https://1.next.westlaw.com/Document/I65fc8577784d11e598dc8b09b4f043e0/View/FullText.html?transitionType=AIGuidedResearch&amp;contextData=%28sc.Default%29&amp;list=All&amp;listSource=WebsiteInternal&amp;conversationId=b9c5ac00-5e72-4701-9b49-c9c6678a14ff" TargetMode="External" /><Relationship Id="rId27" Type="http://schemas.openxmlformats.org/officeDocument/2006/relationships/header" Target="header1.xml" /><Relationship Id="rId28" Type="http://schemas.openxmlformats.org/officeDocument/2006/relationships/footer" Target="footer1.xml" /><Relationship Id="rId29" Type="http://schemas.openxmlformats.org/officeDocument/2006/relationships/footer" Target="footer2.xm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numbering" Target="numbering.xml" /><Relationship Id="rId32" Type="http://schemas.openxmlformats.org/officeDocument/2006/relationships/styles" Target="styles.xml" /><Relationship Id="rId4" Type="http://schemas.openxmlformats.org/officeDocument/2006/relationships/hyperlink" Target="https://1.next.westlaw.com/Link/RelatedInformation/Flag?docGuid=Idb7f90269c4f11d993e6d35cc61aab4a&amp;ppcid=i0a8997b50000019c2611032d61b983d9&amp;transitionType=AIGuidedResearch&amp;contextData=%28sc.Default%29&amp;conversationId=b9c5ac00-5e72-4701-9b49-c9c6678a14ff" TargetMode="External" /><Relationship Id="rId5" Type="http://schemas.openxmlformats.org/officeDocument/2006/relationships/image" Target="https://i1.next.westlaw.com/permalink/indigo/flag_yellow_small.png" TargetMode="External" /><Relationship Id="rId6" Type="http://schemas.openxmlformats.org/officeDocument/2006/relationships/hyperlink" Target="https://1.next.westlaw.com/Document/Idb7f90269c4f11d993e6d35cc61aab4a/View/FullText.html?transitionType=AIGuidedResearch&amp;contextData=%28sc.Default%29&amp;list=All&amp;listSource=WebsiteInternal&amp;conversationId=b9c5ac00-5e72-4701-9b49-c9c6678a14ff" TargetMode="External" /><Relationship Id="rId7" Type="http://schemas.openxmlformats.org/officeDocument/2006/relationships/hyperlink" Target="https://1.next.westlaw.com/Link/RelatedInformation/Flag?docGuid=Icab708a894d811d9bc61beebb95be672&amp;ppcid=i0a8997b50000019c2611032d61b983d9&amp;transitionType=AIGuidedResearch&amp;contextData=%28sc.Default%29&amp;conversationId=b9c5ac00-5e72-4701-9b49-c9c6678a14ff" TargetMode="External" /><Relationship Id="rId8" Type="http://schemas.openxmlformats.org/officeDocument/2006/relationships/hyperlink" Target="https://1.next.westlaw.com/Document/Icab708a894d811d9bc61beebb95be672/View/FullText.html?transitionType=AIGuidedResearch&amp;contextData=%28sc.Default%29&amp;list=All&amp;listSource=WebsiteInternal&amp;conversationId=b9c5ac00-5e72-4701-9b49-c9c6678a14ff" TargetMode="External" /><Relationship Id="rId9" Type="http://schemas.openxmlformats.org/officeDocument/2006/relationships/hyperlink" Target="https://1.next.westlaw.com/Link/RelatedInformation/Flag?docGuid=I84d107d08e3611d9bc61beebb95be672&amp;ppcid=i0a8997b50000019c2611032d61b983d9&amp;transitionType=AIGuidedResearch&amp;contextData=%28sc.Default%29&amp;conversationId=b9c5ac00-5e72-4701-9b49-c9c6678a14f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715</TotalTime>
  <Pages>12</Pages>
  <Words>36</Words>
  <Characters>742</Characters>
  <Application>Microsoft Office Word</Application>
  <DocSecurity>0</DocSecurity>
  <Lines>60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Westlaw AI Deep Research</dc:creator>
  <cp:lastModifiedBy>Westlaw AI Deep Research</cp:lastModifiedBy>
  <cp:revision>257</cp:revision>
  <dcterms:created xsi:type="dcterms:W3CDTF">2025-07-30T20:26:00Z</dcterms:created>
  <dcterms:modified xsi:type="dcterms:W3CDTF">2025-11-18T20:12:00Z</dcterms:modified>
</cp:coreProperties>
</file>