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i w:val="0"/>
          <w:strike w:val="0"/>
        </w:rPr>
        <w:t>Core Question:</w:t>
      </w:r>
      <w:r>
        <w:rPr>
          <w:b w:val="0"/>
          <w:i w:val="0"/>
          <w:strike w:val="0"/>
        </w:rPr>
        <w:t xml:space="preserve"> How has Andy Warhol Foundation v. Goldsmith (2023) affected transformativeness analysis in Second Circuit, particularly for same-market uses?</w:t>
        <w:br/>
        <w:br/>
      </w:r>
      <w:r>
        <w:rPr>
          <w:b/>
          <w:i w:val="0"/>
          <w:strike w:val="0"/>
        </w:rPr>
        <w:t>Sub-questions:</w:t>
      </w:r>
      <w:r>
        <w:rPr>
          <w:b w:val="0"/>
          <w:i w:val="0"/>
          <w:strike w:val="0"/>
        </w:rPr>
        <w:br/>
        <w:br/>
        <w:t>- Does Warhol require heightened showing of transformation when defendant competes in same market?</w:t>
        <w:br/>
        <w:t>- How does Warhol's "purpose and character" focus affect educational fair use claims?</w:t>
        <w:br/>
        <w:t>- Has Second Circuit issued post-Warhol decisions clarifying educational use standards?</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New York</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Based on your question, this response is focused on 2nd Circuit, not the original selection of New York.</w:t>
        <w:br/>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Andy Warhol Foundation v. Goldsmith (2023)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has fundamentally altered transformativeness analysis in the Second Circuit by requiring heightened justification for same-market commercial uses and creating a presumption against fair use when original and secondary works share the same or similar purposes. The decision does not require a heightened showing of transformation when defendants compete in the same market, but rather establishes that same-market commercial uses are presumptively unfair absent compelling justification for copying. For educational fair use claims, the Warhol framework significantly limits the protective value of educational purpose when the underlying use serves the same purpose as the original work. The Second Circuit has strictly applied this framework in post-Warhol decisions, rejecting fair use claims even for nonprofit educational uses when the fundamental purpose remains unchanged.</w:t>
        <w:br/>
      </w:r>
    </w:p>
    <w:p>
      <w:pPr>
        <w:pStyle w:val="Heading3"/>
        <w:rPr>
          <w:b w:val="0"/>
          <w:i w:val="0"/>
          <w:strike w:val="0"/>
        </w:rPr>
      </w:pPr>
      <w:r>
        <w:rPr>
          <w:b/>
          <w:u w:val="none"/>
        </w:rPr>
        <w:t>Warhol's Fundamental Changes to Transformativeness Analysis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Supreme Court in </w:t>
      </w:r>
      <w:hyperlink r:id="rId4"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rejected the broad "new expression" test that had previously favored fair use findings. The Court held that "the first fair use factor instead focuses on whether an allegedly infringing use has a further purpose or different character, which is a matter of degree, and the degree of difference must be weighed against other considerations, like commercialism." </w:t>
      </w:r>
      <w:hyperlink r:id="rId4"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The Court emphasized that new expression, meaning, or message "is not, without more, dispositive of the first factor" because otherwise "transformative use would swallow the copyright owner's exclusive right to prepare derivative works."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Most significantly for same-market analysis, the Court established that "if an original work and secondary use share the same or highly similar purposes, and the secondary use is commercial, the first fair use factor is likely to weigh against fair use, absent some other justification for copying."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This creates a strong presumption against fair use in same-market commercial scenarios, fundamentally shifting the burden to defendants to demonstrate compelling justification for their copying.</w:t>
        <w:br/>
      </w:r>
    </w:p>
    <w:p>
      <w:pPr>
        <w:pStyle w:val="Heading3"/>
        <w:rPr>
          <w:b w:val="0"/>
          <w:i w:val="0"/>
          <w:strike w:val="0"/>
        </w:rPr>
      </w:pPr>
      <w:r>
        <w:rPr>
          <w:b/>
          <w:u w:val="none"/>
        </w:rPr>
        <w:t>Second Circuit Application to Same-Market Commercial Uses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rigorously applied Warhol's framework to reject fair use claims in same-market scenarios. In </w:t>
      </w:r>
      <w:hyperlink r:id="rId7"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found that the Internet Archive's digital lending program was not transformative despite its educational mission because "the underlying purpose of making the Works available in a derivative format is still the same." </w:t>
      </w:r>
      <w:hyperlink r:id="rId7"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concluded that creating "digital copies of the Works and distributes these copies to its users in full, for free" without providing "criticism, commentary, or information about the originals" failed the transformativeness test. </w:t>
      </w:r>
      <w:hyperlink r:id="rId7"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Similarly, in </w:t>
      </w:r>
      <w:hyperlink r:id="rId9" w:history="1">
        <w:r>
          <w:rPr>
            <w:rStyle w:val="Hyperlink"/>
            <w:rFonts w:ascii="Arial" w:eastAsia="Times New Roman" w:hAnsi="Arial" w:cs="Arial"/>
            <w:b w:val="0"/>
            <w:i w:val="0"/>
            <w:strike w:val="0"/>
            <w:color w:val="467886"/>
            <w:u w:val="none"/>
          </w:rPr>
          <w:t>Graham v. Prince, Not Reported in Fed. Supp. (2023)</w:t>
        </w:r>
      </w:hyperlink>
      <w:r>
        <w:rPr>
          <w:rFonts w:ascii="Arial" w:eastAsia="Times New Roman" w:hAnsi="Arial" w:cs="Arial"/>
          <w:b w:val="0"/>
          <w:i w:val="0"/>
          <w:strike w:val="0"/>
          <w:color w:val="1D1D1D"/>
          <w:u w:val="none"/>
        </w:rPr>
        <w:t xml:space="preserve">, decided shortly after Warhol, a district court within the Second Circuit applied the new framework to deny fair use protection for commercial art sales, finding that even after extensive discovery, the defendant "cannot show that the first factor favors a finding of fair use" because the use was "not transformative as a matter of law." </w:t>
      </w:r>
      <w:hyperlink r:id="rId9" w:history="1">
        <w:r>
          <w:rPr>
            <w:rStyle w:val="Hyperlink"/>
            <w:rFonts w:ascii="Arial" w:eastAsia="Times New Roman" w:hAnsi="Arial" w:cs="Arial"/>
            <w:b w:val="0"/>
            <w:i w:val="0"/>
            <w:strike w:val="0"/>
            <w:color w:val="467886"/>
            <w:u w:val="none"/>
          </w:rPr>
          <w:t>Graham v. Prince, Not Reported in Fed. Supp. (2023)</w:t>
        </w:r>
      </w:hyperlink>
      <w:r>
        <w:rPr>
          <w:rFonts w:ascii="Arial" w:eastAsia="Times New Roman" w:hAnsi="Arial" w:cs="Arial"/>
          <w:b w:val="0"/>
          <w:i w:val="0"/>
          <w:strike w:val="0"/>
          <w:color w:val="1D1D1D"/>
          <w:u w:val="none"/>
        </w:rPr>
        <w:t xml:space="preserve"> The court noted that "the fair use precedents of Google and Warhol support and reinforce this conclusion." </w:t>
      </w:r>
      <w:hyperlink r:id="rId9" w:history="1">
        <w:r>
          <w:rPr>
            <w:rStyle w:val="Hyperlink"/>
            <w:rFonts w:ascii="Arial" w:eastAsia="Times New Roman" w:hAnsi="Arial" w:cs="Arial"/>
            <w:b w:val="0"/>
            <w:i w:val="0"/>
            <w:strike w:val="0"/>
            <w:color w:val="467886"/>
            <w:u w:val="none"/>
          </w:rPr>
          <w:t>Graham v. Prince, Not Reported in Fed. Supp. (2023)</w:t>
        </w:r>
      </w:hyperlink>
      <w:r>
        <w:rPr>
          <w:rFonts w:ascii="Arial" w:eastAsia="Times New Roman" w:hAnsi="Arial" w:cs="Arial"/>
          <w:b w:val="0"/>
          <w:i w:val="0"/>
          <w:strike w:val="0"/>
          <w:color w:val="1D1D1D"/>
          <w:u w:val="none"/>
        </w:rPr>
        <w:br/>
      </w:r>
    </w:p>
    <w:p>
      <w:pPr>
        <w:pStyle w:val="Heading3"/>
        <w:rPr>
          <w:b w:val="0"/>
          <w:i w:val="0"/>
          <w:strike w:val="0"/>
        </w:rPr>
      </w:pPr>
      <w:r>
        <w:rPr>
          <w:b/>
          <w:u w:val="none"/>
        </w:rPr>
        <w:t>Impact on Educational Fair Use Claims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Warhol significantly constrains educational fair use claims by limiting the protective value of educational purpose when the underlying use serves the same fundamental purpose as the original. The Second Circuit in </w:t>
      </w:r>
      <w:hyperlink r:id="rId7"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acknowledged that "commerciality of a secondary use of a copyrighted work is only one part of the inquiry into the first factor" and that "the mere fact that a use is educational and not for profit does not insulate the use from a finding of infringement." </w:t>
      </w:r>
      <w:hyperlink r:id="rId7"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However, the circuit has not completely abandoned educational fair use. In </w:t>
      </w:r>
      <w:hyperlink r:id="rId10" w:history="1">
        <w:r>
          <w:rPr>
            <w:rStyle w:val="Hyperlink"/>
            <w:rFonts w:ascii="Arial" w:eastAsia="Times New Roman" w:hAnsi="Arial" w:cs="Arial"/>
            <w:b w:val="0"/>
            <w:i w:val="0"/>
            <w:strike w:val="0"/>
            <w:color w:val="467886"/>
            <w:u w:val="none"/>
          </w:rPr>
          <w:t>Wilder v. Hoiland, Not Reported in Fed. Supp. (2024)</w:t>
        </w:r>
      </w:hyperlink>
      <w:r>
        <w:rPr>
          <w:rFonts w:ascii="Arial" w:eastAsia="Times New Roman" w:hAnsi="Arial" w:cs="Arial"/>
          <w:b w:val="0"/>
          <w:i w:val="0"/>
          <w:strike w:val="0"/>
          <w:color w:val="1D1D1D"/>
          <w:u w:val="none"/>
        </w:rPr>
        <w:t xml:space="preserve">, a district court found fair use for an academic presentation that used copyrighted curriculum materials, emphasizing that the defendant's "purpose thus was educational—to share the experience of the NICE and NICHE programs with an audience of community college professors" and was "transformative rather than a 'usurping' infringement of the original work." </w:t>
      </w:r>
      <w:hyperlink r:id="rId10" w:history="1">
        <w:r>
          <w:rPr>
            <w:rStyle w:val="Hyperlink"/>
            <w:rFonts w:ascii="Arial" w:eastAsia="Times New Roman" w:hAnsi="Arial" w:cs="Arial"/>
            <w:b w:val="0"/>
            <w:i w:val="0"/>
            <w:strike w:val="0"/>
            <w:color w:val="467886"/>
            <w:u w:val="none"/>
          </w:rPr>
          <w:t>Wilder v. Hoiland, Not Reported in Fed. Supp. (2024)</w:t>
        </w:r>
      </w:hyperlink>
      <w:r>
        <w:rPr>
          <w:rFonts w:ascii="Arial" w:eastAsia="Times New Roman" w:hAnsi="Arial" w:cs="Arial"/>
          <w:b w:val="0"/>
          <w:i w:val="0"/>
          <w:strike w:val="0"/>
          <w:color w:val="1D1D1D"/>
          <w:u w:val="none"/>
        </w:rPr>
        <w:t xml:space="preserve"> The court found that "both the audience and the nature of Hoiland's use were different than Wilder's original use and purpose." </w:t>
      </w:r>
      <w:hyperlink r:id="rId10" w:history="1">
        <w:r>
          <w:rPr>
            <w:rStyle w:val="Hyperlink"/>
            <w:rFonts w:ascii="Arial" w:eastAsia="Times New Roman" w:hAnsi="Arial" w:cs="Arial"/>
            <w:b w:val="0"/>
            <w:i w:val="0"/>
            <w:strike w:val="0"/>
            <w:color w:val="467886"/>
            <w:u w:val="none"/>
          </w:rPr>
          <w:t>Wilder v. Hoiland, Not Reported in Fed. Supp. (2024)</w:t>
        </w:r>
      </w:hyperlink>
      <w:r>
        <w:rPr>
          <w:rFonts w:ascii="Arial" w:eastAsia="Times New Roman" w:hAnsi="Arial" w:cs="Arial"/>
          <w:b w:val="0"/>
          <w:i w:val="0"/>
          <w:strike w:val="0"/>
          <w:color w:val="1D1D1D"/>
          <w:u w:val="none"/>
        </w:rPr>
        <w:br/>
      </w:r>
    </w:p>
    <w:p>
      <w:pPr>
        <w:pStyle w:val="Heading3"/>
        <w:rPr>
          <w:b w:val="0"/>
          <w:i w:val="0"/>
          <w:strike w:val="0"/>
        </w:rPr>
      </w:pPr>
      <w:r>
        <w:rPr>
          <w:b/>
          <w:u w:val="none"/>
        </w:rPr>
        <w:t>Post-Warhol Standards and Market Analysis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continues to recognize transformativeness as the "central question" in first factor analysis </w:t>
      </w:r>
      <w:hyperlink r:id="rId7"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but now applies heightened scrutiny when works serve similar commercial purposes. In </w:t>
      </w:r>
      <w:hyperlink r:id="rId11" w:history="1">
        <w:r>
          <w:rPr>
            <w:rStyle w:val="Hyperlink"/>
            <w:rFonts w:ascii="Arial" w:eastAsia="Times New Roman" w:hAnsi="Arial" w:cs="Arial"/>
            <w:b w:val="0"/>
            <w:i w:val="0"/>
            <w:strike w:val="0"/>
            <w:color w:val="467886"/>
            <w:u w:val="none"/>
          </w:rPr>
          <w:t>Santos v. Kimmel, 154 F.4th 30 (2025)</w:t>
        </w:r>
      </w:hyperlink>
      <w:r>
        <w:rPr>
          <w:rFonts w:ascii="Arial" w:eastAsia="Times New Roman" w:hAnsi="Arial" w:cs="Arial"/>
          <w:b w:val="0"/>
          <w:i w:val="0"/>
          <w:strike w:val="0"/>
          <w:color w:val="1D1D1D"/>
          <w:u w:val="none"/>
        </w:rPr>
        <w:t xml:space="preserve">, the circuit found fair use for a late-night television show's use of celebrity videos because the use was genuinely transformative commentary with "a further purpose or different character." </w:t>
      </w:r>
      <w:hyperlink r:id="rId11" w:history="1">
        <w:r>
          <w:rPr>
            <w:rStyle w:val="Hyperlink"/>
            <w:rFonts w:ascii="Arial" w:eastAsia="Times New Roman" w:hAnsi="Arial" w:cs="Arial"/>
            <w:b w:val="0"/>
            <w:i w:val="0"/>
            <w:strike w:val="0"/>
            <w:color w:val="467886"/>
            <w:u w:val="none"/>
          </w:rPr>
          <w:t>Santos v. Kimmel, 154 F.4th 30 (2025)</w:t>
        </w:r>
      </w:hyperlink>
      <w:r>
        <w:rPr>
          <w:rFonts w:ascii="Arial" w:eastAsia="Times New Roman" w:hAnsi="Arial" w:cs="Arial"/>
          <w:b w:val="0"/>
          <w:i w:val="0"/>
          <w:strike w:val="0"/>
          <w:color w:val="1D1D1D"/>
          <w:u w:val="none"/>
        </w:rPr>
        <w:t xml:space="preserve"> The court emphasized that transformativeness analysis "turns on what a reasonable observer thinks, not subjective intent of copyright holder or that of secondary user." </w:t>
      </w:r>
      <w:hyperlink r:id="rId11" w:history="1">
        <w:r>
          <w:rPr>
            <w:rStyle w:val="Hyperlink"/>
            <w:rFonts w:ascii="Arial" w:eastAsia="Times New Roman" w:hAnsi="Arial" w:cs="Arial"/>
            <w:b w:val="0"/>
            <w:i w:val="0"/>
            <w:strike w:val="0"/>
            <w:color w:val="467886"/>
            <w:u w:val="none"/>
          </w:rPr>
          <w:t>Santos v. Kimmel, 154 F.4th 30 (2025)</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circuit's approach reflects Warhol's emphasis on use-specific analysis rather than broad categorical determinations. Courts now examine whether the specific challenged use serves the same commercial function as the original, with commercial licensing markets receiving particular protection. As the Court noted in Warhol, the challenged use must be evaluated based on "the specific 'use' of a copyrighted work that is alleged to be 'an infringement'" because "the same copying may be fair when used for one purpose but not another." </w:t>
      </w:r>
      <w:hyperlink r:id="rId4"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Andy Warhol Foundation for the Visual Arts, Inc. v. Goldsmith, 598 U.S. 508 (2023)</w:t>
        </w:r>
      </w:hyperlink>
    </w:p>
    <w:p w:rsidR="000911FB" w:rsidRPr="00E5063B" w:rsidP="000911FB" w14:paraId="5F10F1E7" w14:textId="77777777">
      <w:pPr>
        <w:pStyle w:val="Report-Body"/>
      </w:pP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8"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5</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39" type="#_x0000_t75" alt="KeyCite Yellow Flag" style="width:16pt;height:16pt">
              <v:imagedata r:id="rId5" o:title=""/>
            </v:shape>
          </w:pict>
        </w:r>
      </w:hyperlink>
      <w:r>
        <w:t xml:space="preserve"> </w:t>
      </w:r>
      <w:hyperlink r:id="rId6" w:history="1">
        <w:r>
          <w:rPr>
            <w:rStyle w:val="Hyperlink"/>
            <w:b/>
            <w:i w:val="0"/>
            <w:strike w:val="0"/>
            <w:color w:val="467886"/>
            <w:u w:val="single"/>
          </w:rPr>
          <w:t>Andy Warhol Foundation for the Visual Arts, Inc. v. Goldsmith</w:t>
        </w:r>
      </w:hyperlink>
    </w:p>
    <w:p w:rsidR="000911FB" w:rsidRPr="00C67A9D" w:rsidP="000911FB" w14:paraId="778AA143"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May 18, 2023</w:t>
      </w:r>
      <w:r w:rsidRPr="00C67A9D">
        <w:rPr>
          <w:b w:val="0"/>
          <w:bCs w:val="0"/>
        </w:rPr>
        <w:t xml:space="preserve">   •   </w:t>
      </w:r>
      <w:r>
        <w:rPr>
          <w:b/>
          <w:i w:val="0"/>
          <w:strike w:val="0"/>
        </w:rPr>
        <w:t>598 U.S. 508</w:t>
      </w:r>
      <w:r w:rsidRPr="00C67A9D">
        <w:rPr>
          <w:b w:val="0"/>
          <w:bCs w:val="0"/>
        </w:rPr>
        <w:t xml:space="preserve">   •   </w:t>
      </w:r>
      <w:r>
        <w:rPr>
          <w:b/>
          <w:i w:val="0"/>
          <w:strike w:val="0"/>
        </w:rPr>
        <w:t>143 S.Ct. 1258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the purpose and character of AWF's commercial licensing did not favor fair use defense and establishing framework requiring justification for same-market commercial uses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...But the first fair use factor instead focuses on whether an allegedly infringing use has a further purpose or different character, which is a matter of degree, and the degree of difference must be weighed against other considerations, like commercialism. Although new expression, meaning, or message may be relevant to whether a copying use has a sufficiently distinct purpose or character, it is not, without more, dispositive of the first factor....</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 xml:space="preserve">...But </w:t>
            </w:r>
            <w:r>
              <w:rPr>
                <w:rFonts w:ascii="Arial" w:eastAsia="Times New Roman" w:hAnsi="Arial" w:cs="Arial"/>
                <w:b w:val="0"/>
                <w:i/>
                <w:strike w:val="0"/>
                <w:color w:val="1D1D1D"/>
              </w:rPr>
              <w:t>Campbell</w:t>
            </w:r>
            <w:r>
              <w:rPr>
                <w:rFonts w:ascii="Arial" w:eastAsia="Times New Roman" w:hAnsi="Arial" w:cs="Arial"/>
                <w:b w:val="0"/>
                <w:i w:val="0"/>
                <w:strike w:val="0"/>
                <w:color w:val="1D1D1D"/>
              </w:rPr>
              <w:t xml:space="preserve"> cannot be read to mean that § 107(1) weighs in favor of any use that adds new expression, meaning, or message. Otherwise, “transformative use” would swallow the copyright owner's exclusive right to prepare derivative works, as many derivative works that “recast, transfor[m] or adap[t]” the original, § 101, add new expression of some kind....</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...In sum, if an original work and secondary use share the same or highly similar purposes, and the secondary use is commercial, the first fair use factor is likely to weigh against fair use, absent some other justification for copying....</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...(2) The fair use provision, and the first factor in particular, requires an analysis of the specific “use” of a copyrighted work that is alleged to be “an infringement.” § 107. The same copying may be fair when used for one purpose but not another....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40" type="#_x0000_t75" alt="KeyCite Yellow Flag" style="width:16pt;height:16pt">
              <v:imagedata r:id="rId5" o:title=""/>
            </v:shape>
          </w:pict>
        </w:r>
      </w:hyperlink>
      <w:r>
        <w:t xml:space="preserve"> </w:t>
      </w:r>
      <w:hyperlink r:id="rId8" w:history="1">
        <w:r>
          <w:rPr>
            <w:rStyle w:val="Hyperlink"/>
            <w:b/>
            <w:i w:val="0"/>
            <w:strike w:val="0"/>
            <w:color w:val="467886"/>
            <w:u w:val="single"/>
          </w:rPr>
          <w:t>Hachette Book Group, Inc. v. Internet Archive</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September 04, 2024</w:t>
      </w:r>
      <w:r w:rsidRPr="00C67A9D">
        <w:rPr>
          <w:b w:val="0"/>
          <w:bCs w:val="0"/>
        </w:rPr>
        <w:t xml:space="preserve">   •   </w:t>
      </w:r>
      <w:r>
        <w:rPr>
          <w:b/>
          <w:i w:val="0"/>
          <w:strike w:val="0"/>
        </w:rPr>
        <w:t>115 F.4th 163</w:t>
      </w:r>
      <w:r w:rsidRPr="00C67A9D">
        <w:rPr>
          <w:b w:val="0"/>
          <w:bCs w:val="0"/>
        </w:rPr>
        <w:t xml:space="preserve">   •   </w:t>
      </w:r>
      <w:r>
        <w:rPr>
          <w:b/>
          <w:i w:val="0"/>
          <w:strike w:val="0"/>
        </w:rPr>
        <w:t>2024 WL 4031751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Rejecting fair use defense for library's digital lending program despite educational purpose because underlying purpose remained same as original works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...Commerciality of a secondary use of a copyrighted work is only one part of the inquiry into the first factor of the fair-use defense to copyright infringement, namely the purpose and character of the allegedly infringing secondary use, and of the broader fair-use analysis; accordingly, the mere fact that a use is educational and not for profit does not insulate the use from a finding of infringement, any more than the commercial character of a use bars a finding of fairness. 17 U.S.C.A. S 107(1)....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9" w:history="1">
        <w:r>
          <w:rPr>
            <w:rStyle w:val="Hyperlink"/>
            <w:b/>
            <w:i w:val="0"/>
            <w:strike w:val="0"/>
            <w:color w:val="467886"/>
            <w:u w:val="single"/>
          </w:rPr>
          <w:t>Graham v. Prince</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May 11, 2023</w:t>
      </w:r>
      <w:r w:rsidRPr="00C67A9D">
        <w:rPr>
          <w:b w:val="0"/>
          <w:bCs w:val="0"/>
        </w:rPr>
        <w:t xml:space="preserve">   •   </w:t>
      </w:r>
      <w:r>
        <w:rPr>
          <w:b/>
          <w:i w:val="0"/>
          <w:strike w:val="0"/>
        </w:rPr>
        <w:t>Not Reported in Fed. Supp.</w:t>
      </w:r>
      <w:r w:rsidRPr="00C67A9D">
        <w:rPr>
          <w:b w:val="0"/>
          <w:bCs w:val="0"/>
        </w:rPr>
        <w:t xml:space="preserve">   •   </w:t>
      </w:r>
      <w:r>
        <w:rPr>
          <w:b/>
          <w:i w:val="0"/>
          <w:strike w:val="0"/>
        </w:rPr>
        <w:t>2023 WL 3383029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Denying fair use defense for commercial art sales applying post-Warhol transformativeness analysis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...1. First Factor: Purpose and Character of the Use. But even after extensive discovery, defendants still cannot show that the first factor favors a finding of fair use. Prince's use of plaintiffs' images is not transformative as a matter of law. The fair use precedents of Google and Warhol support and reinforce this conclusion. Furthermore, although less consequential to the overall analysis, the use is undisputedly commercial....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10" w:history="1">
        <w:r>
          <w:rPr>
            <w:rStyle w:val="Hyperlink"/>
            <w:b/>
            <w:i w:val="0"/>
            <w:strike w:val="0"/>
            <w:color w:val="467886"/>
            <w:u w:val="single"/>
          </w:rPr>
          <w:t>Wilder v. Hoiland</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February 01, 2024</w:t>
      </w:r>
      <w:r w:rsidRPr="00C67A9D">
        <w:rPr>
          <w:b w:val="0"/>
          <w:bCs w:val="0"/>
        </w:rPr>
        <w:t xml:space="preserve">   •   </w:t>
      </w:r>
      <w:r>
        <w:rPr>
          <w:b/>
          <w:i w:val="0"/>
          <w:strike w:val="0"/>
        </w:rPr>
        <w:t>Not Reported in Fed. Supp.</w:t>
      </w:r>
      <w:r w:rsidRPr="00C67A9D">
        <w:rPr>
          <w:b w:val="0"/>
          <w:bCs w:val="0"/>
        </w:rPr>
        <w:t xml:space="preserve">   •   </w:t>
      </w:r>
      <w:r>
        <w:rPr>
          <w:b/>
          <w:i w:val="0"/>
          <w:strike w:val="0"/>
        </w:rPr>
        <w:t>2024 WL 382141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Finding fair use for academic presentation using curriculum materials where audience and purpose differed from original</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The Purpose and Character of the Use. This therefore was a use that was transformative rather than a "usurping" infringement of the original work. Both the audience and the nature of Hoiland's use were different than Wilder's original use and purpose of the Text. Indeed, Wilder's argument that Hoiland presented the work in a context or to an audience different than the one she initially intended is a key factor in determining that a use is transformative. See Cariou, 714 F.3d at 709 (emphasis added) ("an accused infringer has usurped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1" w:history="1">
        <w:r>
          <w:rPr>
            <w:rStyle w:val="Hyperlink"/>
            <w:b/>
            <w:i w:val="0"/>
            <w:strike w:val="0"/>
            <w:color w:val="467886"/>
            <w:u w:val="single"/>
          </w:rPr>
          <w:t>Santos v. Kimmel</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06, 2025</w:t>
      </w:r>
      <w:r w:rsidRPr="00C67A9D">
        <w:rPr>
          <w:b w:val="0"/>
          <w:bCs w:val="0"/>
        </w:rPr>
        <w:t xml:space="preserve">   •   </w:t>
      </w:r>
      <w:r>
        <w:rPr>
          <w:b/>
          <w:i w:val="0"/>
          <w:strike w:val="0"/>
        </w:rPr>
        <w:t>154 F.4th 30</w:t>
      </w:r>
      <w:r w:rsidRPr="00C67A9D">
        <w:rPr>
          <w:b w:val="0"/>
          <w:bCs w:val="0"/>
        </w:rPr>
        <w:t xml:space="preserve">   •   </w:t>
      </w:r>
      <w:r>
        <w:rPr>
          <w:b/>
          <w:i w:val="0"/>
          <w:strike w:val="0"/>
        </w:rPr>
        <w:t>2025 WL 2825050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Finding fair use for television show's transformative commentary on celebrity videos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...Whether a secondary use is transformative, as a fair use factor, turns on what a reasonable observer thinks, not subjective intent of copyright holder or that of secondary user. 17 U.S.C.A. S 107....</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RPr="00E5063B" w:rsidP="000911FB" w14:paraId="5C581A35" w14:textId="77777777">
      <w:pPr>
        <w:spacing w:before="113" w:after="113"/>
        <w:rPr>
          <w:rFonts w:cs="Arial"/>
          <w:b/>
          <w:sz w:val="16"/>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Analyzing the Supreme Court's holding in Andy Warhol Foundation for the Visual Arts, Inc. v. Goldsmith (2023) regarding transformativeness analysis and purpose/character factors under the first fair use factor</w:t>
      </w:r>
    </w:p>
    <w:p>
      <w:pPr>
        <w:numPr>
          <w:ilvl w:val="1"/>
          <w:numId w:val="34"/>
        </w:numPr>
        <w:rPr>
          <w:b w:val="0"/>
          <w:i w:val="0"/>
          <w:strike w:val="0"/>
        </w:rPr>
      </w:pPr>
      <w:r>
        <w:rPr>
          <w:rFonts w:ascii="Arial" w:eastAsia="Times New Roman" w:hAnsi="Arial" w:cs="Arial"/>
          <w:b w:val="0"/>
          <w:i w:val="0"/>
          <w:strike w:val="0"/>
          <w:color w:val="1D1D1D"/>
        </w:rPr>
        <w:t>Warhol fundamentally changed transformativeness analysis: rejected broad "new expression" test, requires heightened justification for same-market commercial uses, emphasizes use-specific analysis, and creates presumption against fair use when original and secondary works share same/similar purposes and secondary use is commercial</w:t>
      </w:r>
    </w:p>
    <w:p>
      <w:pPr>
        <w:numPr>
          <w:ilvl w:val="0"/>
          <w:numId w:val="34"/>
        </w:numPr>
        <w:rPr>
          <w:b w:val="0"/>
          <w:i w:val="0"/>
          <w:strike w:val="0"/>
        </w:rPr>
      </w:pPr>
      <w:r>
        <w:rPr>
          <w:rFonts w:ascii="Arial" w:eastAsia="Times New Roman" w:hAnsi="Arial" w:cs="Arial"/>
          <w:b w:val="0"/>
          <w:i w:val="0"/>
          <w:strike w:val="0"/>
          <w:color w:val="1D1D1D"/>
        </w:rPr>
        <w:t>Examining how the Supreme Court's emphasis on commercial use and market substitution in Warhol affects transformativeness determinations when original and allegedly infringing works target the same market</w:t>
      </w:r>
    </w:p>
    <w:p>
      <w:pPr>
        <w:numPr>
          <w:ilvl w:val="1"/>
          <w:numId w:val="34"/>
        </w:numPr>
        <w:rPr>
          <w:b w:val="0"/>
          <w:i w:val="0"/>
          <w:strike w:val="0"/>
        </w:rPr>
      </w:pPr>
      <w:r>
        <w:rPr>
          <w:rFonts w:ascii="Arial" w:eastAsia="Times New Roman" w:hAnsi="Arial" w:cs="Arial"/>
          <w:b w:val="0"/>
          <w:i w:val="0"/>
          <w:strike w:val="0"/>
          <w:color w:val="1D1D1D"/>
        </w:rPr>
        <w:t>Warhol creates presumption against fair use when original and secondary works share same/similar purposes and secondary use is commercial. Second Circuit applies this strictly - Hachette Book Group (2024) rejected transformative claims for same-purpose uses even when educational/nonprofit</w:t>
      </w:r>
    </w:p>
    <w:p>
      <w:pPr>
        <w:numPr>
          <w:ilvl w:val="0"/>
          <w:numId w:val="34"/>
        </w:numPr>
        <w:rPr>
          <w:b w:val="0"/>
          <w:i w:val="0"/>
          <w:strike w:val="0"/>
        </w:rPr>
      </w:pPr>
      <w:r>
        <w:rPr>
          <w:rFonts w:ascii="Arial" w:eastAsia="Times New Roman" w:hAnsi="Arial" w:cs="Arial"/>
          <w:b w:val="0"/>
          <w:i w:val="0"/>
          <w:strike w:val="0"/>
          <w:color w:val="1D1D1D"/>
        </w:rPr>
        <w:t>Researching Second Circuit decisions citing Andy Warhol Foundation v. Goldsmith since May 2023 to identify how the circuit has interpreted and applied the Supreme Court's modified transformativeness framework</w:t>
      </w:r>
    </w:p>
    <w:p>
      <w:pPr>
        <w:numPr>
          <w:ilvl w:val="1"/>
          <w:numId w:val="34"/>
        </w:numPr>
        <w:rPr>
          <w:b w:val="0"/>
          <w:i w:val="0"/>
          <w:strike w:val="0"/>
        </w:rPr>
      </w:pPr>
      <w:r>
        <w:rPr>
          <w:rFonts w:ascii="Arial" w:eastAsia="Times New Roman" w:hAnsi="Arial" w:cs="Arial"/>
          <w:b w:val="0"/>
          <w:i w:val="0"/>
          <w:strike w:val="0"/>
          <w:color w:val="1D1D1D"/>
        </w:rPr>
        <w:t>Key Second Circuit post-Warhol cases: Hachette Book Group v. Internet Archive (2024) - strictly applied Warhol framework, rejected transformative use for library digitization; Santos v. Kimmel (2024/2025) - found transformative use for commentary; Wilder v. Hoiland (2024/2025) - educational use can still be fair even without strong transformativeness</w:t>
      </w:r>
    </w:p>
    <w:p>
      <w:pPr>
        <w:numPr>
          <w:ilvl w:val="0"/>
          <w:numId w:val="34"/>
        </w:numPr>
        <w:rPr>
          <w:b w:val="0"/>
          <w:i w:val="0"/>
          <w:strike w:val="0"/>
        </w:rPr>
      </w:pPr>
      <w:r>
        <w:rPr>
          <w:rFonts w:ascii="Arial" w:eastAsia="Times New Roman" w:hAnsi="Arial" w:cs="Arial"/>
          <w:b w:val="0"/>
          <w:i w:val="0"/>
          <w:strike w:val="0"/>
          <w:color w:val="1D1D1D"/>
        </w:rPr>
        <w:t>Identifying changes in Second Circuit fair use analysis post-Warhol, particularly regarding the weight given to transformative purpose versus commercial nature and market harm in same-market scenarios</w:t>
      </w:r>
    </w:p>
    <w:p>
      <w:pPr>
        <w:numPr>
          <w:ilvl w:val="1"/>
          <w:numId w:val="34"/>
        </w:numPr>
        <w:rPr>
          <w:b w:val="0"/>
          <w:i w:val="0"/>
          <w:strike w:val="0"/>
        </w:rPr>
      </w:pPr>
      <w:r>
        <w:rPr>
          <w:rFonts w:ascii="Arial" w:eastAsia="Times New Roman" w:hAnsi="Arial" w:cs="Arial"/>
          <w:b w:val="0"/>
          <w:i w:val="0"/>
          <w:strike w:val="0"/>
          <w:color w:val="1D1D1D"/>
        </w:rPr>
        <w:t>Post-Warhol: transformativeness remains central inquiry but with heightened scrutiny for same-market uses. Educational purpose still weighs in favor but insufficient alone if underlying purpose same as original. Commercial nature weighs more heavily against fair use in same-market scenarios</w:t>
      </w:r>
    </w:p>
    <w:p>
      <w:pPr>
        <w:numPr>
          <w:ilvl w:val="0"/>
          <w:numId w:val="34"/>
        </w:numPr>
        <w:rPr>
          <w:b w:val="0"/>
          <w:i w:val="0"/>
          <w:strike w:val="0"/>
        </w:rPr>
      </w:pPr>
      <w:r>
        <w:rPr>
          <w:rFonts w:ascii="Arial" w:eastAsia="Times New Roman" w:hAnsi="Arial" w:cs="Arial"/>
          <w:b w:val="0"/>
          <w:i w:val="0"/>
          <w:strike w:val="0"/>
          <w:color w:val="1D1D1D"/>
        </w:rPr>
        <w:t>Analyzing Second Circuit cases addressing fair use claims involving works that serve similar commercial purposes or target identical markets following the Warhol decision</w:t>
      </w:r>
    </w:p>
    <w:p>
      <w:pPr>
        <w:numPr>
          <w:ilvl w:val="1"/>
          <w:numId w:val="34"/>
        </w:numPr>
        <w:rPr>
          <w:b w:val="0"/>
          <w:i w:val="0"/>
          <w:strike w:val="0"/>
        </w:rPr>
      </w:pPr>
      <w:r>
        <w:rPr>
          <w:rFonts w:ascii="Arial" w:eastAsia="Times New Roman" w:hAnsi="Arial" w:cs="Arial"/>
          <w:b w:val="0"/>
          <w:i w:val="0"/>
          <w:strike w:val="0"/>
          <w:color w:val="1D1D1D"/>
        </w:rPr>
        <w:t>Second Circuit applies Warhol strictly to same-market uses: Hachette Book Group rejected fair use for library digitization despite nonprofit/educational purpose because underlying purpose remained same; Graham v. Prince (2023) denied fair use for commercial art sales in same market; Santos v. Kimmel succeeded only because use was transformative commentary with different purpose</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1"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Are you analyzing a specific case involving educational use of copyrighted materials, or seeking general guidance on post-Warhol fair use standards?</w:t>
      </w:r>
    </w:p>
    <w:p>
      <w:pPr>
        <w:numPr>
          <w:ilvl w:val="0"/>
          <w:numId w:val="33"/>
        </w:numPr>
        <w:rPr>
          <w:b w:val="0"/>
          <w:i w:val="0"/>
          <w:strike w:val="0"/>
        </w:rPr>
      </w:pPr>
      <w:r>
        <w:rPr>
          <w:rFonts w:ascii="Arial" w:hAnsi="Arial" w:cs="Arial"/>
          <w:b/>
          <w:i w:val="0"/>
          <w:strike w:val="0"/>
          <w:color w:val="1D1D1D"/>
        </w:rPr>
        <w:t>Does the educational use you're evaluating involve the same target audience and fundamental purpose as the original copyrighted work?</w:t>
      </w:r>
    </w:p>
    <w:p>
      <w:pPr>
        <w:numPr>
          <w:ilvl w:val="0"/>
          <w:numId w:val="33"/>
        </w:numPr>
        <w:rPr>
          <w:b w:val="0"/>
          <w:i w:val="0"/>
          <w:strike w:val="0"/>
        </w:rPr>
      </w:pPr>
      <w:r>
        <w:rPr>
          <w:rFonts w:ascii="Arial" w:hAnsi="Arial" w:cs="Arial"/>
          <w:b/>
          <w:i w:val="0"/>
          <w:strike w:val="0"/>
          <w:color w:val="1D1D1D"/>
        </w:rPr>
        <w:t>Is the educational use being made by a commercial entity or for-profit institution, or by a genuine nonprofit educational organization?</w:t>
      </w:r>
    </w:p>
    <w:p>
      <w:pPr>
        <w:numPr>
          <w:ilvl w:val="0"/>
          <w:numId w:val="33"/>
        </w:numPr>
        <w:rPr>
          <w:b w:val="0"/>
          <w:i w:val="0"/>
          <w:strike w:val="0"/>
        </w:rPr>
      </w:pPr>
      <w:r>
        <w:rPr>
          <w:rFonts w:ascii="Arial" w:hAnsi="Arial" w:cs="Arial"/>
          <w:b/>
          <w:i w:val="0"/>
          <w:strike w:val="0"/>
          <w:color w:val="1D1D1D"/>
        </w:rPr>
        <w:t>When you refer to "same-market uses," are you specifically concerned with commercial licensing markets or broader competitive markets?</w:t>
      </w:r>
    </w:p>
    <w:p>
      <w:pPr>
        <w:numPr>
          <w:ilvl w:val="0"/>
          <w:numId w:val="33"/>
        </w:numPr>
        <w:rPr>
          <w:b w:val="0"/>
          <w:i w:val="0"/>
          <w:strike w:val="0"/>
        </w:rPr>
      </w:pPr>
      <w:r>
        <w:rPr>
          <w:rFonts w:ascii="Arial" w:hAnsi="Arial" w:cs="Arial"/>
          <w:b/>
          <w:i w:val="0"/>
          <w:strike w:val="0"/>
          <w:color w:val="1D1D1D"/>
        </w:rPr>
        <w:t>Are there specific facts about the transformative nature of the educational use that might distinguish it from merely providing the same content in a different format?</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12"/>
      <w:footerReference w:type="even" r:id="rId13"/>
      <w:footerReference w:type="default" r:id="rId14"/>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9</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12:14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semiHidden/>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bf2d4110c1a611eea589aad7d6c39ed3/View/FullText.html?transitionType=AIGuidedResearch&amp;contextData=%28sc.Default%29&amp;list=All&amp;listSource=WebsiteInternal&amp;conversationId=78a44bf6-62e0-4809-8729-9e8db731e4d5" TargetMode="External" /><Relationship Id="rId11" Type="http://schemas.openxmlformats.org/officeDocument/2006/relationships/hyperlink" Target="https://1.next.westlaw.com/Document/Ic2fd9410a2c911f0b891c23825f37a33/View/FullText.html?transitionType=AIGuidedResearch&amp;contextData=%28sc.Default%29&amp;list=All&amp;listSource=WebsiteInternal&amp;conversationId=78a44bf6-62e0-4809-8729-9e8db731e4d5" TargetMode="External"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1.next.westlaw.com/Link/RelatedInformation/Flag?docGuid=Ifd67b741f54e11ed93738d5a07d4dec7&amp;ppcid=i0a89a74c0000019c2612345bc0195797&amp;transitionType=AIGuidedResearch&amp;contextData=%28sc.Default%29&amp;conversationId=78a44bf6-62e0-4809-8729-9e8db731e4d5"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fd67b741f54e11ed93738d5a07d4dec7/View/FullText.html?transitionType=AIGuidedResearch&amp;contextData=%28sc.Default%29&amp;list=All&amp;listSource=WebsiteInternal&amp;conversationId=78a44bf6-62e0-4809-8729-9e8db731e4d5" TargetMode="External" /><Relationship Id="rId7" Type="http://schemas.openxmlformats.org/officeDocument/2006/relationships/hyperlink" Target="https://1.next.westlaw.com/Link/RelatedInformation/Flag?docGuid=Ic33554606ae211ef806a83ea3275ddd8&amp;ppcid=i0a89a74c0000019c2612345bc0195797&amp;transitionType=AIGuidedResearch&amp;contextData=%28sc.Default%29&amp;conversationId=78a44bf6-62e0-4809-8729-9e8db731e4d5" TargetMode="External" /><Relationship Id="rId8" Type="http://schemas.openxmlformats.org/officeDocument/2006/relationships/hyperlink" Target="https://1.next.westlaw.com/Document/Ic33554606ae211ef806a83ea3275ddd8/View/FullText.html?transitionType=AIGuidedResearch&amp;contextData=%28sc.Default%29&amp;list=All&amp;listSource=WebsiteInternal&amp;conversationId=78a44bf6-62e0-4809-8729-9e8db731e4d5" TargetMode="External" /><Relationship Id="rId9" Type="http://schemas.openxmlformats.org/officeDocument/2006/relationships/hyperlink" Target="https://1.next.westlaw.com/Document/I84996da0f09e11ed91a6d631469a59e7/View/FullText.html?transitionType=AIGuidedResearch&amp;contextData=%28sc.Default%29&amp;list=All&amp;listSource=WebsiteInternal&amp;conversationId=78a44bf6-62e0-4809-8729-9e8db731e4d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9</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