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4.8.0 -->
  <w:body>
    <w:p w:rsidR="000911FB" w:rsidP="000911FB" w14:paraId="14F968FB" w14:textId="46DD7B6A">
      <w:pPr>
        <w:pStyle w:val="Report-Heading"/>
        <w:rPr>
          <w:rFonts w:eastAsiaTheme="minorHAnsi"/>
        </w:rPr>
      </w:pPr>
      <w:r>
        <w:rPr>
          <w:b w:val="0"/>
          <w:i w:val="0"/>
          <w:strike w:val="0"/>
        </w:rPr>
        <w:t>Research question</w:t>
      </w:r>
    </w:p>
    <w:p w:rsidR="00FD0317" w:rsidP="000911FB" w14:paraId="51CFC033" w14:textId="77777777">
      <w:pPr>
        <w:pStyle w:val="Report-Body"/>
      </w:pPr>
    </w:p>
    <w:p w:rsidR="000911FB" w:rsidP="000911FB" w14:paraId="28859EEF" w14:textId="0D31FD51">
      <w:pPr>
        <w:pStyle w:val="Report-Body"/>
      </w:pPr>
      <w:r>
        <w:rPr>
          <w:b/>
          <w:i w:val="0"/>
          <w:strike w:val="0"/>
        </w:rPr>
        <w:t>Core Question:</w:t>
      </w:r>
      <w:r>
        <w:rPr>
          <w:b w:val="0"/>
          <w:i w:val="0"/>
          <w:strike w:val="0"/>
        </w:rPr>
        <w:t xml:space="preserve"> Is 87.5% verbatim copying (7 of 8 lines) reasonable when purpose is to criticize and correct inaccuracies in those specific lines?</w:t>
        <w:br/>
        <w:br/>
      </w:r>
      <w:r>
        <w:rPr>
          <w:b/>
          <w:i w:val="0"/>
          <w:strike w:val="0"/>
        </w:rPr>
        <w:t>Sub-questions:</w:t>
      </w:r>
      <w:r>
        <w:rPr>
          <w:b w:val="0"/>
          <w:i w:val="0"/>
          <w:strike w:val="0"/>
        </w:rPr>
        <w:br/>
        <w:br/>
        <w:t>- What percentage copying has Second Circuit approved for educational criticism?</w:t>
        <w:br/>
        <w:t>- Does Campbell's "conjure up" standard apply outside parody context?</w:t>
        <w:br/>
        <w:t>- How do courts distinguish necessary copying from excessive copying for criticism?</w:t>
      </w:r>
    </w:p>
    <w:p w:rsidR="000911FB" w:rsidRPr="00E5063B" w:rsidP="000911FB" w14:paraId="292F0F17" w14:textId="77777777">
      <w:pPr>
        <w:pStyle w:val="Report-Body"/>
      </w:pPr>
    </w:p>
    <w:p>
      <w:pPr>
        <w:pStyle w:val="Report-Metadata"/>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sz w:val="18"/>
        </w:rPr>
        <w:t>2nd Circuit</w:t>
        <w:br/>
      </w:r>
    </w:p>
    <w:p w:rsidR="000911FB" w:rsidP="000911FB" w14:paraId="57F8CAA9" w14:textId="77777777">
      <w:pPr>
        <w:pStyle w:val="Report-Body"/>
      </w:pPr>
    </w:p>
    <w:p w:rsidR="000911FB" w:rsidP="000911FB" w14:paraId="7E83A4BC" w14:textId="77777777">
      <w:pPr>
        <w:pStyle w:val="Report-Body"/>
      </w:pPr>
      <w:r>
        <w:rPr>
          <w:noProof/>
          <w14:ligatures w14:val="standardContextual"/>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852100684"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a:l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5" style="mso-wrap-distance-bottom:0;mso-wrap-distance-left:9pt;mso-wrap-distance-right:9pt;mso-wrap-distance-top:0;mso-wrap-style:square;position:absolute;visibility:visible;z-index:251661312" from="0,0.95pt" to="465pt,0.95pt" strokecolor="black" strokeweight="1.5pt">
                <v:stroke joinstyle="miter"/>
              </v:line>
            </w:pict>
          </mc:Fallback>
        </mc:AlternateContent>
      </w:r>
    </w:p>
    <w:p>
      <w:pPr>
        <w:pStyle w:val="Heading3"/>
        <w:rPr>
          <w:b w:val="0"/>
          <w:i w:val="0"/>
          <w:strike w:val="0"/>
        </w:rPr>
      </w:pPr>
      <w:r>
        <w:rPr>
          <w:b/>
          <w:u w:val="none"/>
        </w:rPr>
        <w:t>Summary</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87.5% verbatim copying (7 of 8 lines) for purposes of criticism and correction presents a challenging fair use analysis in the Second Circuit. While the Second Circuit has approved substantial copying for criticism, the highest percentage explicitly approved was only 4.3% in </w:t>
      </w:r>
      <w:hyperlink r:id="rId4" w:history="1">
        <w:r>
          <w:rPr>
            <w:rStyle w:val="Hyperlink"/>
            <w:rFonts w:ascii="Arial" w:eastAsia="Times New Roman" w:hAnsi="Arial" w:cs="Arial"/>
            <w:b w:val="0"/>
            <w:i w:val="0"/>
            <w:strike w:val="0"/>
            <w:color w:val="467886"/>
            <w:u w:val="none"/>
          </w:rPr>
          <w:t>Maxtone-Graham v. Burtchaell, 803 F.2d 1253 (1986)</w:t>
        </w:r>
      </w:hyperlink>
      <w:r>
        <w:rPr>
          <w:rFonts w:ascii="Arial" w:eastAsia="Times New Roman" w:hAnsi="Arial" w:cs="Arial"/>
          <w:b w:val="0"/>
          <w:i w:val="0"/>
          <w:strike w:val="0"/>
          <w:color w:val="1D1D1D"/>
          <w:u w:val="none"/>
        </w:rPr>
        <w:t>. However, Second Circuit precedent establishes that there are no absolute percentage rules, and courts must conduct both quantitative and qualitative analyses under the fragmented literal similarity test. The critical factors are whether the copying serves a transformative critical purpose with "critical bearing" on the original work, whether the copied material constitutes the "heart" of the original, and whether the amount copied is necessary to achieve the critical purpose.</w:t>
        <w:br/>
      </w:r>
    </w:p>
    <w:p>
      <w:pPr>
        <w:pStyle w:val="Heading3"/>
        <w:rPr>
          <w:b w:val="0"/>
          <w:i w:val="0"/>
          <w:strike w:val="0"/>
        </w:rPr>
      </w:pPr>
      <w:r>
        <w:rPr>
          <w:b/>
          <w:u w:val="none"/>
        </w:rPr>
        <w:t>Second Circuit's Approach to Percentage Copying for Educational Criticism</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Second Circuit explicitly rejected bright-line percentage rules for fair use copying. In </w:t>
      </w:r>
      <w:r>
        <w:rPr>
          <w:rFonts w:ascii="Arial" w:eastAsia="Times New Roman" w:hAnsi="Arial" w:cs="Arial"/>
          <w:b w:val="0"/>
          <w:i/>
          <w:strike w:val="0"/>
          <w:color w:val="1D1D1D"/>
          <w:u w:val="none"/>
        </w:rPr>
        <w:t>Maxtone-Graham v. Burtchaell</w:t>
      </w:r>
      <w:r>
        <w:rPr>
          <w:rFonts w:ascii="Arial" w:eastAsia="Times New Roman" w:hAnsi="Arial" w:cs="Arial"/>
          <w:b w:val="0"/>
          <w:i w:val="0"/>
          <w:strike w:val="0"/>
          <w:color w:val="1D1D1D"/>
          <w:u w:val="none"/>
        </w:rPr>
        <w:t xml:space="preserve">, the court stated that "there are no absolute rules as to how much of a copyrighted work may be copied and still be considered a fair use" and noted that "in some instances, copying a work wholesale has been held to be fair use...while in other cases taking only a tiny portion of the original work has been held unfair" </w:t>
      </w:r>
      <w:hyperlink r:id="rId4" w:history="1">
        <w:r>
          <w:rPr>
            <w:rStyle w:val="Hyperlink"/>
            <w:rFonts w:ascii="Arial" w:eastAsia="Times New Roman" w:hAnsi="Arial" w:cs="Arial"/>
            <w:b w:val="0"/>
            <w:i w:val="0"/>
            <w:strike w:val="0"/>
            <w:color w:val="467886"/>
            <w:u w:val="none"/>
          </w:rPr>
          <w:t>Maxtone-Graham v. Burtchaell, 803 F.2d 1253 (1986)</w:t>
        </w:r>
      </w:hyperlink>
      <w:r>
        <w:rPr>
          <w:rFonts w:ascii="Arial" w:eastAsia="Times New Roman" w:hAnsi="Arial" w:cs="Arial"/>
          <w:b w:val="0"/>
          <w:i w:val="0"/>
          <w:strike w:val="0"/>
          <w:color w:val="1D1D1D"/>
          <w:u w:val="none"/>
        </w:rPr>
        <w:t>. The court approved 4.3% copying of interview transcripts for critical commentary about abortion, emphasizing that both quantitative and qualitative assessments matter in the analysis.</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Second Circuit applies a fragmented literal similarity test when defendants copy verbatim portions of original works. This test focuses on whether the copied elements are "trivial or substantial" to the plaintiff's work, considering both their "qualitative and quantitative significance" </w:t>
      </w:r>
      <w:hyperlink r:id="rId5"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KeyCite Yellow Flag" style="width:16pt;height:16pt">
              <v:imagedata r:id="rId6" o:title=""/>
            </v:shape>
          </w:pict>
        </w:r>
      </w:hyperlink>
      <w:r>
        <w:rPr>
          <w:rFonts w:ascii="Arial" w:eastAsia="Times New Roman" w:hAnsi="Arial" w:cs="Arial"/>
          <w:b w:val="0"/>
          <w:i w:val="0"/>
          <w:strike w:val="0"/>
          <w:color w:val="1D1D1D"/>
          <w:u w:val="none"/>
        </w:rPr>
        <w:t xml:space="preserve"> </w:t>
      </w:r>
      <w:hyperlink r:id="rId7" w:history="1">
        <w:r>
          <w:rPr>
            <w:rStyle w:val="Hyperlink"/>
            <w:rFonts w:ascii="Arial" w:eastAsia="Times New Roman" w:hAnsi="Arial" w:cs="Arial"/>
            <w:b w:val="0"/>
            <w:i w:val="0"/>
            <w:strike w:val="0"/>
            <w:color w:val="467886"/>
            <w:u w:val="none"/>
          </w:rPr>
          <w:t>TufAmerica, Inc. v. Diamond, 968 F.Supp.2d 588 (2013)</w:t>
        </w:r>
      </w:hyperlink>
      <w:r>
        <w:rPr>
          <w:rFonts w:ascii="Arial" w:eastAsia="Times New Roman" w:hAnsi="Arial" w:cs="Arial"/>
          <w:b w:val="0"/>
          <w:i w:val="0"/>
          <w:strike w:val="0"/>
          <w:color w:val="1D1D1D"/>
          <w:u w:val="none"/>
        </w:rPr>
        <w:t xml:space="preserve">. In </w:t>
      </w:r>
      <w:r>
        <w:rPr>
          <w:rFonts w:ascii="Arial" w:eastAsia="Times New Roman" w:hAnsi="Arial" w:cs="Arial"/>
          <w:b w:val="0"/>
          <w:i/>
          <w:strike w:val="0"/>
          <w:color w:val="1D1D1D"/>
          <w:u w:val="none"/>
        </w:rPr>
        <w:t>TufAmerica, Inc. v. Diamond</w:t>
      </w:r>
      <w:r>
        <w:rPr>
          <w:rFonts w:ascii="Arial" w:eastAsia="Times New Roman" w:hAnsi="Arial" w:cs="Arial"/>
          <w:b w:val="0"/>
          <w:i w:val="0"/>
          <w:strike w:val="0"/>
          <w:color w:val="1D1D1D"/>
          <w:u w:val="none"/>
        </w:rPr>
        <w:t xml:space="preserve">, the court explained that fragmented literal similarity "exists where the defendant copies a portion of the plaintiff's work exactly or nearly exactly, without appropriating the work's overall essence or structure" </w:t>
      </w:r>
      <w:hyperlink r:id="rId5" w:history="1">
        <w:r>
          <w:pict>
            <v:shape id="_x0000_i1027" type="#_x0000_t75" alt="KeyCite Yellow Flag" style="width:16pt;height:16pt">
              <v:imagedata r:id="rId6" o:title=""/>
            </v:shape>
          </w:pict>
        </w:r>
      </w:hyperlink>
      <w:r>
        <w:rPr>
          <w:rFonts w:ascii="Arial" w:eastAsia="Times New Roman" w:hAnsi="Arial" w:cs="Arial"/>
          <w:b w:val="0"/>
          <w:i w:val="0"/>
          <w:strike w:val="0"/>
          <w:color w:val="1D1D1D"/>
          <w:u w:val="none"/>
        </w:rPr>
        <w:t xml:space="preserve"> </w:t>
      </w:r>
      <w:hyperlink r:id="rId7" w:history="1">
        <w:r>
          <w:rPr>
            <w:rStyle w:val="Hyperlink"/>
            <w:rFonts w:ascii="Arial" w:eastAsia="Times New Roman" w:hAnsi="Arial" w:cs="Arial"/>
            <w:b w:val="0"/>
            <w:i w:val="0"/>
            <w:strike w:val="0"/>
            <w:color w:val="467886"/>
            <w:u w:val="none"/>
          </w:rPr>
          <w:t>TufAmerica, Inc. v. Diamond, 968 F.Supp.2d 588 (2013)</w:t>
        </w:r>
      </w:hyperlink>
      <w:r>
        <w:rPr>
          <w:rFonts w:ascii="Arial" w:eastAsia="Times New Roman" w:hAnsi="Arial" w:cs="Arial"/>
          <w:b w:val="0"/>
          <w:i w:val="0"/>
          <w:strike w:val="0"/>
          <w:color w:val="1D1D1D"/>
          <w:u w:val="none"/>
        </w:rPr>
        <w:t>.</w:t>
        <w:br/>
      </w:r>
    </w:p>
    <w:p>
      <w:pPr>
        <w:pStyle w:val="Heading3"/>
        <w:rPr>
          <w:b w:val="0"/>
          <w:i w:val="0"/>
          <w:strike w:val="0"/>
        </w:rPr>
      </w:pPr>
      <w:r>
        <w:rPr>
          <w:b/>
          <w:u w:val="none"/>
        </w:rPr>
        <w:t>Campbell's Conjure Up Standard Beyond Parody</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Supreme Court's decision in </w:t>
      </w:r>
      <w:r>
        <w:rPr>
          <w:rFonts w:ascii="Arial" w:eastAsia="Times New Roman" w:hAnsi="Arial" w:cs="Arial"/>
          <w:b w:val="0"/>
          <w:i/>
          <w:strike w:val="0"/>
          <w:color w:val="1D1D1D"/>
          <w:u w:val="none"/>
        </w:rPr>
        <w:t>Andy Warhol Foundation v. Goldsmith</w:t>
      </w:r>
      <w:r>
        <w:rPr>
          <w:rFonts w:ascii="Arial" w:eastAsia="Times New Roman" w:hAnsi="Arial" w:cs="Arial"/>
          <w:b w:val="0"/>
          <w:i w:val="0"/>
          <w:strike w:val="0"/>
          <w:color w:val="1D1D1D"/>
          <w:u w:val="none"/>
        </w:rPr>
        <w:t xml:space="preserve"> clarified that Campbell's conjure up standard extends beyond parody to other forms of criticism and commentary. The Court stated that "other commentary or criticism that targets an original work may have compelling reason to 'conjure up' the original by borrowing from it" </w:t>
      </w:r>
      <w:hyperlink r:id="rId8" w:history="1">
        <w:r>
          <w:pict>
            <v:shape id="_x0000_i1028" type="#_x0000_t75" alt="KeyCite Yellow Flag" style="width:16pt;height:16pt">
              <v:imagedata r:id="rId6" o:title=""/>
            </v:shape>
          </w:pict>
        </w:r>
      </w:hyperlink>
      <w:r>
        <w:rPr>
          <w:rFonts w:ascii="Arial" w:eastAsia="Times New Roman" w:hAnsi="Arial" w:cs="Arial"/>
          <w:b w:val="0"/>
          <w:i w:val="0"/>
          <w:strike w:val="0"/>
          <w:color w:val="1D1D1D"/>
          <w:u w:val="none"/>
        </w:rPr>
        <w:t xml:space="preserve"> </w:t>
      </w:r>
      <w:hyperlink r:id="rId9" w:history="1">
        <w:r>
          <w:rPr>
            <w:rStyle w:val="Hyperlink"/>
            <w:rFonts w:ascii="Arial" w:eastAsia="Times New Roman" w:hAnsi="Arial" w:cs="Arial"/>
            <w:b w:val="0"/>
            <w:i w:val="0"/>
            <w:strike w:val="0"/>
            <w:color w:val="467886"/>
            <w:u w:val="none"/>
          </w:rPr>
          <w:t>Andy Warhol Foundation for the Visual Arts, Inc. v. Goldsmith, 598 U.S. 508 (2023)</w:t>
        </w:r>
      </w:hyperlink>
      <w:r>
        <w:rPr>
          <w:rFonts w:ascii="Arial" w:eastAsia="Times New Roman" w:hAnsi="Arial" w:cs="Arial"/>
          <w:b w:val="0"/>
          <w:i w:val="0"/>
          <w:strike w:val="0"/>
          <w:color w:val="1D1D1D"/>
          <w:u w:val="none"/>
        </w:rPr>
        <w:t>. However, this protection comes with important limitations.</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Court established that when "commentary has no critical bearing on the substance or style of the original composition...the claim to fairness in borrowing from another's work diminishes accordingly (if it does not vanish), and other factors, like the extent of its commerciality, loom larger" </w:t>
      </w:r>
      <w:hyperlink r:id="rId8" w:history="1">
        <w:r>
          <w:pict>
            <v:shape id="_x0000_i1029" type="#_x0000_t75" alt="KeyCite Yellow Flag" style="width:16pt;height:16pt">
              <v:imagedata r:id="rId6" o:title=""/>
            </v:shape>
          </w:pict>
        </w:r>
      </w:hyperlink>
      <w:r>
        <w:rPr>
          <w:rFonts w:ascii="Arial" w:eastAsia="Times New Roman" w:hAnsi="Arial" w:cs="Arial"/>
          <w:b w:val="0"/>
          <w:i w:val="0"/>
          <w:strike w:val="0"/>
          <w:color w:val="1D1D1D"/>
          <w:u w:val="none"/>
        </w:rPr>
        <w:t xml:space="preserve"> </w:t>
      </w:r>
      <w:hyperlink r:id="rId9" w:history="1">
        <w:r>
          <w:rPr>
            <w:rStyle w:val="Hyperlink"/>
            <w:rFonts w:ascii="Arial" w:eastAsia="Times New Roman" w:hAnsi="Arial" w:cs="Arial"/>
            <w:b w:val="0"/>
            <w:i w:val="0"/>
            <w:strike w:val="0"/>
            <w:color w:val="467886"/>
            <w:u w:val="none"/>
          </w:rPr>
          <w:t>Andy Warhol Foundation for the Visual Arts, Inc. v. Goldsmith, 598 U.S. 508 (2023)</w:t>
        </w:r>
      </w:hyperlink>
      <w:r>
        <w:rPr>
          <w:rFonts w:ascii="Arial" w:eastAsia="Times New Roman" w:hAnsi="Arial" w:cs="Arial"/>
          <w:b w:val="0"/>
          <w:i w:val="0"/>
          <w:strike w:val="0"/>
          <w:color w:val="1D1D1D"/>
          <w:u w:val="none"/>
        </w:rPr>
        <w:t xml:space="preserve">. Commentary that targets broader social issues without specifically critiquing the original work receives diminished protection and "can stand on its own two feet and so requires justification for the very act of borrowing" </w:t>
      </w:r>
      <w:hyperlink r:id="rId8" w:history="1">
        <w:r>
          <w:pict>
            <v:shape id="_x0000_i1030" type="#_x0000_t75" alt="KeyCite Yellow Flag" style="width:16pt;height:16pt">
              <v:imagedata r:id="rId6" o:title=""/>
            </v:shape>
          </w:pict>
        </w:r>
      </w:hyperlink>
      <w:r>
        <w:rPr>
          <w:rFonts w:ascii="Arial" w:eastAsia="Times New Roman" w:hAnsi="Arial" w:cs="Arial"/>
          <w:b w:val="0"/>
          <w:i w:val="0"/>
          <w:strike w:val="0"/>
          <w:color w:val="1D1D1D"/>
          <w:u w:val="none"/>
        </w:rPr>
        <w:t xml:space="preserve"> </w:t>
      </w:r>
      <w:hyperlink r:id="rId9" w:history="1">
        <w:r>
          <w:rPr>
            <w:rStyle w:val="Hyperlink"/>
            <w:rFonts w:ascii="Arial" w:eastAsia="Times New Roman" w:hAnsi="Arial" w:cs="Arial"/>
            <w:b w:val="0"/>
            <w:i w:val="0"/>
            <w:strike w:val="0"/>
            <w:color w:val="467886"/>
            <w:u w:val="none"/>
          </w:rPr>
          <w:t>Andy Warhol Foundation for the Visual Arts, Inc. v. Goldsmith, 598 U.S. 508 (2023)</w:t>
        </w:r>
      </w:hyperlink>
      <w:r>
        <w:rPr>
          <w:rFonts w:ascii="Arial" w:eastAsia="Times New Roman" w:hAnsi="Arial" w:cs="Arial"/>
          <w:b w:val="0"/>
          <w:i w:val="0"/>
          <w:strike w:val="0"/>
          <w:color w:val="1D1D1D"/>
          <w:u w:val="none"/>
        </w:rPr>
        <w:t>.</w:t>
        <w:br/>
      </w:r>
    </w:p>
    <w:p>
      <w:pPr>
        <w:pStyle w:val="Heading3"/>
        <w:rPr>
          <w:b w:val="0"/>
          <w:i w:val="0"/>
          <w:strike w:val="0"/>
        </w:rPr>
      </w:pPr>
      <w:r>
        <w:rPr>
          <w:b/>
          <w:u w:val="none"/>
        </w:rPr>
        <w:t>Distinguishing Necessary from Excessive Copying for Criticism</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Second Circuit recognizes a strong presumption favoring criticism and commentary under the first fair use factor. The court has held that "there is a strong presumption that factor one favors the defendant if the allegedly infringing work fits the description of uses described in section 107," including criticism and comment </w:t>
      </w:r>
      <w:hyperlink r:id="rId10" w:history="1">
        <w:r>
          <w:rPr>
            <w:rStyle w:val="Hyperlink"/>
            <w:rFonts w:ascii="Arial" w:eastAsia="Times New Roman" w:hAnsi="Arial" w:cs="Arial"/>
            <w:b w:val="0"/>
            <w:i w:val="0"/>
            <w:strike w:val="0"/>
            <w:color w:val="467886"/>
            <w:u w:val="none"/>
          </w:rPr>
          <w:t>In re DMCA Section 512(h) Subpoena to YouTube (Google, Inc.), 581 F.Supp.3d 509 (2022)</w:t>
        </w:r>
      </w:hyperlink>
      <w:r>
        <w:rPr>
          <w:rFonts w:ascii="Arial" w:eastAsia="Times New Roman" w:hAnsi="Arial" w:cs="Arial"/>
          <w:b w:val="0"/>
          <w:i w:val="0"/>
          <w:strike w:val="0"/>
          <w:color w:val="1D1D1D"/>
          <w:u w:val="none"/>
        </w:rPr>
        <w:t xml:space="preserve">. In </w:t>
      </w:r>
      <w:r>
        <w:rPr>
          <w:rFonts w:ascii="Arial" w:eastAsia="Times New Roman" w:hAnsi="Arial" w:cs="Arial"/>
          <w:b w:val="0"/>
          <w:i/>
          <w:strike w:val="0"/>
          <w:color w:val="1D1D1D"/>
          <w:u w:val="none"/>
        </w:rPr>
        <w:t>Authors Guild v. Google</w:t>
      </w:r>
      <w:r>
        <w:rPr>
          <w:rFonts w:ascii="Arial" w:eastAsia="Times New Roman" w:hAnsi="Arial" w:cs="Arial"/>
          <w:b w:val="0"/>
          <w:i w:val="0"/>
          <w:strike w:val="0"/>
          <w:color w:val="1D1D1D"/>
          <w:u w:val="none"/>
        </w:rPr>
        <w:t xml:space="preserve">, the Second Circuit noted that "among the best recognized justifications for copying from another's work under the transformative purpose factor of fair use is to provide comment on it or criticism of it" </w:t>
      </w:r>
      <w:hyperlink r:id="rId11" w:history="1">
        <w:r>
          <w:pict>
            <v:shape id="_x0000_i1031" type="#_x0000_t75" alt="KeyCite Yellow Flag" style="width:16pt;height:16pt">
              <v:imagedata r:id="rId6" o:title=""/>
            </v:shape>
          </w:pict>
        </w:r>
      </w:hyperlink>
      <w:r>
        <w:rPr>
          <w:rFonts w:ascii="Arial" w:eastAsia="Times New Roman" w:hAnsi="Arial" w:cs="Arial"/>
          <w:b w:val="0"/>
          <w:i w:val="0"/>
          <w:strike w:val="0"/>
          <w:color w:val="1D1D1D"/>
          <w:u w:val="none"/>
        </w:rPr>
        <w:t xml:space="preserve"> </w:t>
      </w:r>
      <w:hyperlink r:id="rId12" w:history="1">
        <w:r>
          <w:rPr>
            <w:rStyle w:val="Hyperlink"/>
            <w:rFonts w:ascii="Arial" w:eastAsia="Times New Roman" w:hAnsi="Arial" w:cs="Arial"/>
            <w:b w:val="0"/>
            <w:i w:val="0"/>
            <w:strike w:val="0"/>
            <w:color w:val="467886"/>
            <w:u w:val="none"/>
          </w:rPr>
          <w:t>Authors Guild v. Google, Inc., 804 F.3d 202 (2015)</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However, courts carefully scrutinize whether the amount of copying is necessary to achieve the critical purpose. In </w:t>
      </w:r>
      <w:r>
        <w:rPr>
          <w:rFonts w:ascii="Arial" w:eastAsia="Times New Roman" w:hAnsi="Arial" w:cs="Arial"/>
          <w:b w:val="0"/>
          <w:i/>
          <w:strike w:val="0"/>
          <w:color w:val="1D1D1D"/>
          <w:u w:val="none"/>
        </w:rPr>
        <w:t>Penguin Random House LLC v. Colting</w:t>
      </w:r>
      <w:r>
        <w:rPr>
          <w:rFonts w:ascii="Arial" w:eastAsia="Times New Roman" w:hAnsi="Arial" w:cs="Arial"/>
          <w:b w:val="0"/>
          <w:i w:val="0"/>
          <w:strike w:val="0"/>
          <w:color w:val="1D1D1D"/>
          <w:u w:val="none"/>
        </w:rPr>
        <w:t xml:space="preserve">, the court found that defendants' copying was not necessary to serve a transformative purpose because "nearly all of infringers' books were devoted to telling copyrighted stories, with only two pages purporting to analyze stories" </w:t>
      </w:r>
      <w:hyperlink r:id="rId13" w:history="1">
        <w:r>
          <w:rPr>
            <w:rStyle w:val="Hyperlink"/>
            <w:rFonts w:ascii="Arial" w:eastAsia="Times New Roman" w:hAnsi="Arial" w:cs="Arial"/>
            <w:b w:val="0"/>
            <w:i w:val="0"/>
            <w:strike w:val="0"/>
            <w:color w:val="467886"/>
            <w:u w:val="none"/>
          </w:rPr>
          <w:t>Penguin Random House LLC v. Colting, 270 F.Supp.3d 736 (2017)</w:t>
        </w:r>
      </w:hyperlink>
      <w:r>
        <w:rPr>
          <w:rFonts w:ascii="Arial" w:eastAsia="Times New Roman" w:hAnsi="Arial" w:cs="Arial"/>
          <w:b w:val="0"/>
          <w:i w:val="0"/>
          <w:strike w:val="0"/>
          <w:color w:val="1D1D1D"/>
          <w:u w:val="none"/>
        </w:rPr>
        <w:t xml:space="preserve">. The court emphasized that copying was "not necessary to serve a transformative purpose, like providing commentary or criticism" </w:t>
      </w:r>
      <w:hyperlink r:id="rId13" w:history="1">
        <w:r>
          <w:rPr>
            <w:rStyle w:val="Hyperlink"/>
            <w:rFonts w:ascii="Arial" w:eastAsia="Times New Roman" w:hAnsi="Arial" w:cs="Arial"/>
            <w:b w:val="0"/>
            <w:i w:val="0"/>
            <w:strike w:val="0"/>
            <w:color w:val="467886"/>
            <w:u w:val="none"/>
          </w:rPr>
          <w:t>Penguin Random House LLC v. Colting, 270 F.Supp.3d 736 (2017)</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key inquiry is whether the defendant took the "heart" of the original work. In </w:t>
      </w:r>
      <w:r>
        <w:rPr>
          <w:rFonts w:ascii="Arial" w:eastAsia="Times New Roman" w:hAnsi="Arial" w:cs="Arial"/>
          <w:b w:val="0"/>
          <w:i/>
          <w:strike w:val="0"/>
          <w:color w:val="1D1D1D"/>
          <w:u w:val="none"/>
        </w:rPr>
        <w:t>Maxtone-Graham</w:t>
      </w:r>
      <w:r>
        <w:rPr>
          <w:rFonts w:ascii="Arial" w:eastAsia="Times New Roman" w:hAnsi="Arial" w:cs="Arial"/>
          <w:b w:val="0"/>
          <w:i w:val="0"/>
          <w:strike w:val="0"/>
          <w:color w:val="1D1D1D"/>
          <w:u w:val="none"/>
        </w:rPr>
        <w:t xml:space="preserve">, the court found no infringement partly because the defendant could not be said to have "took the heart of Pregnant by Mistake, since Maxtone-Graham's book consists of narratives by 17 women, and has no identifiable core that could be appropriated" </w:t>
      </w:r>
      <w:hyperlink r:id="rId4" w:history="1">
        <w:r>
          <w:rPr>
            <w:rStyle w:val="Hyperlink"/>
            <w:rFonts w:ascii="Arial" w:eastAsia="Times New Roman" w:hAnsi="Arial" w:cs="Arial"/>
            <w:b w:val="0"/>
            <w:i w:val="0"/>
            <w:strike w:val="0"/>
            <w:color w:val="467886"/>
            <w:u w:val="none"/>
          </w:rPr>
          <w:t>Maxtone-Graham v. Burtchaell, 803 F.2d 1253 (1986)</w:t>
        </w:r>
      </w:hyperlink>
      <w:r>
        <w:rPr>
          <w:rFonts w:ascii="Arial" w:eastAsia="Times New Roman" w:hAnsi="Arial" w:cs="Arial"/>
          <w:b w:val="0"/>
          <w:i w:val="0"/>
          <w:strike w:val="0"/>
          <w:color w:val="1D1D1D"/>
          <w:u w:val="none"/>
        </w:rPr>
        <w:t xml:space="preserve">. This contrasts with cases like </w:t>
      </w:r>
      <w:r>
        <w:rPr>
          <w:rFonts w:ascii="Arial" w:eastAsia="Times New Roman" w:hAnsi="Arial" w:cs="Arial"/>
          <w:b w:val="0"/>
          <w:i/>
          <w:strike w:val="0"/>
          <w:color w:val="1D1D1D"/>
          <w:u w:val="none"/>
        </w:rPr>
        <w:t>Harper &amp; Row</w:t>
      </w:r>
      <w:r>
        <w:rPr>
          <w:rFonts w:ascii="Arial" w:eastAsia="Times New Roman" w:hAnsi="Arial" w:cs="Arial"/>
          <w:b w:val="0"/>
          <w:i w:val="0"/>
          <w:strike w:val="0"/>
          <w:color w:val="1D1D1D"/>
          <w:u w:val="none"/>
        </w:rPr>
        <w:t xml:space="preserve">, where "the Nation took what was essentially the heart of the book" </w:t>
      </w:r>
      <w:hyperlink r:id="rId4" w:history="1">
        <w:r>
          <w:rPr>
            <w:rStyle w:val="Hyperlink"/>
            <w:rFonts w:ascii="Arial" w:eastAsia="Times New Roman" w:hAnsi="Arial" w:cs="Arial"/>
            <w:b w:val="0"/>
            <w:i w:val="0"/>
            <w:strike w:val="0"/>
            <w:color w:val="467886"/>
            <w:u w:val="none"/>
          </w:rPr>
          <w:t>Maxtone-Graham v. Burtchaell, 803 F.2d 1253 (1986)</w:t>
        </w:r>
      </w:hyperlink>
      <w:r>
        <w:rPr>
          <w:rFonts w:ascii="Arial" w:eastAsia="Times New Roman" w:hAnsi="Arial" w:cs="Arial"/>
          <w:b w:val="0"/>
          <w:i w:val="0"/>
          <w:strike w:val="0"/>
          <w:color w:val="1D1D1D"/>
          <w:u w:val="none"/>
        </w:rPr>
        <w:t>.</w:t>
        <w:br/>
      </w:r>
    </w:p>
    <w:p>
      <w:pPr>
        <w:pStyle w:val="Heading3"/>
        <w:rPr>
          <w:b w:val="0"/>
          <w:i w:val="0"/>
          <w:strike w:val="0"/>
        </w:rPr>
      </w:pPr>
      <w:r>
        <w:rPr>
          <w:b/>
          <w:u w:val="none"/>
        </w:rPr>
        <w:t>Application to 87.5% Copying Scenario</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For 87.5% verbatim copying to constitute fair use for criticism and correction, several factors would be crucial. First, the criticism must have "critical bearing" on the original work itself, not merely use it to comment on broader topics </w:t>
      </w:r>
      <w:hyperlink r:id="rId8" w:history="1">
        <w:r>
          <w:pict>
            <v:shape id="_x0000_i1032" type="#_x0000_t75" alt="KeyCite Yellow Flag" style="width:16pt;height:16pt">
              <v:imagedata r:id="rId6" o:title=""/>
            </v:shape>
          </w:pict>
        </w:r>
      </w:hyperlink>
      <w:r>
        <w:rPr>
          <w:rFonts w:ascii="Arial" w:eastAsia="Times New Roman" w:hAnsi="Arial" w:cs="Arial"/>
          <w:b w:val="0"/>
          <w:i w:val="0"/>
          <w:strike w:val="0"/>
          <w:color w:val="1D1D1D"/>
          <w:u w:val="none"/>
        </w:rPr>
        <w:t xml:space="preserve"> </w:t>
      </w:r>
      <w:hyperlink r:id="rId9" w:history="1">
        <w:r>
          <w:rPr>
            <w:rStyle w:val="Hyperlink"/>
            <w:rFonts w:ascii="Arial" w:eastAsia="Times New Roman" w:hAnsi="Arial" w:cs="Arial"/>
            <w:b w:val="0"/>
            <w:i w:val="0"/>
            <w:strike w:val="0"/>
            <w:color w:val="467886"/>
            <w:u w:val="none"/>
          </w:rPr>
          <w:t>Andy Warhol Foundation for the Visual Arts, Inc. v. Goldsmith, 598 U.S. 508 (2023)</w:t>
        </w:r>
      </w:hyperlink>
      <w:r>
        <w:rPr>
          <w:rFonts w:ascii="Arial" w:eastAsia="Times New Roman" w:hAnsi="Arial" w:cs="Arial"/>
          <w:b w:val="0"/>
          <w:i w:val="0"/>
          <w:strike w:val="0"/>
          <w:color w:val="1D1D1D"/>
          <w:u w:val="none"/>
        </w:rPr>
        <w:t xml:space="preserve">. Second, the copied portions should not constitute the "heart" or most important elements of the original work </w:t>
      </w:r>
      <w:hyperlink r:id="rId4" w:history="1">
        <w:r>
          <w:rPr>
            <w:rStyle w:val="Hyperlink"/>
            <w:rFonts w:ascii="Arial" w:eastAsia="Times New Roman" w:hAnsi="Arial" w:cs="Arial"/>
            <w:b w:val="0"/>
            <w:i w:val="0"/>
            <w:strike w:val="0"/>
            <w:color w:val="467886"/>
            <w:u w:val="none"/>
          </w:rPr>
          <w:t>Maxtone-Graham v. Burtchaell, 803 F.2d 1253 (1986)</w:t>
        </w:r>
      </w:hyperlink>
      <w:r>
        <w:rPr>
          <w:rFonts w:ascii="Arial" w:eastAsia="Times New Roman" w:hAnsi="Arial" w:cs="Arial"/>
          <w:b w:val="0"/>
          <w:i w:val="0"/>
          <w:strike w:val="0"/>
          <w:color w:val="1D1D1D"/>
          <w:u w:val="none"/>
        </w:rPr>
        <w:t xml:space="preserve">. Third, the extensive copying must be necessary to achieve the critical purpose - courts will scrutinize whether less copying could accomplish the same educational or critical goals </w:t>
      </w:r>
      <w:hyperlink r:id="rId13" w:history="1">
        <w:r>
          <w:rPr>
            <w:rStyle w:val="Hyperlink"/>
            <w:rFonts w:ascii="Arial" w:eastAsia="Times New Roman" w:hAnsi="Arial" w:cs="Arial"/>
            <w:b w:val="0"/>
            <w:i w:val="0"/>
            <w:strike w:val="0"/>
            <w:color w:val="467886"/>
            <w:u w:val="none"/>
          </w:rPr>
          <w:t>Penguin Random House LLC v. Colting, 270 F.Supp.3d 736 (2017)</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Second Circuit's emphasis on qualitative analysis means that even high percentage copying might be permissible if the copied material represents less significant portions of the original work and serves a genuine critical purpose targeting the accuracy or substance of the specific copied passages </w:t>
      </w:r>
      <w:hyperlink r:id="rId5" w:history="1">
        <w:r>
          <w:pict>
            <v:shape id="_x0000_i1033" type="#_x0000_t75" alt="KeyCite Yellow Flag" style="width:16pt;height:16pt">
              <v:imagedata r:id="rId6" o:title=""/>
            </v:shape>
          </w:pict>
        </w:r>
      </w:hyperlink>
      <w:r>
        <w:rPr>
          <w:rFonts w:ascii="Arial" w:eastAsia="Times New Roman" w:hAnsi="Arial" w:cs="Arial"/>
          <w:b w:val="0"/>
          <w:i w:val="0"/>
          <w:strike w:val="0"/>
          <w:color w:val="1D1D1D"/>
          <w:u w:val="none"/>
        </w:rPr>
        <w:t xml:space="preserve"> </w:t>
      </w:r>
      <w:hyperlink r:id="rId7" w:history="1">
        <w:r>
          <w:rPr>
            <w:rStyle w:val="Hyperlink"/>
            <w:rFonts w:ascii="Arial" w:eastAsia="Times New Roman" w:hAnsi="Arial" w:cs="Arial"/>
            <w:b w:val="0"/>
            <w:i w:val="0"/>
            <w:strike w:val="0"/>
            <w:color w:val="467886"/>
            <w:u w:val="none"/>
          </w:rPr>
          <w:t>TufAmerica, Inc. v. Diamond, 968 F.Supp.2d 588 (2013)</w:t>
        </w:r>
      </w:hyperlink>
      <w:r>
        <w:rPr>
          <w:rFonts w:ascii="Arial" w:eastAsia="Times New Roman" w:hAnsi="Arial" w:cs="Arial"/>
          <w:b w:val="0"/>
          <w:i w:val="0"/>
          <w:strike w:val="0"/>
          <w:color w:val="1D1D1D"/>
          <w:u w:val="none"/>
        </w:rPr>
        <w:t>.</w:t>
      </w:r>
    </w:p>
    <w:p w:rsidR="000911FB" w:rsidRPr="00E5063B" w:rsidP="000911FB" w14:paraId="5F10F1E7" w14:textId="77777777">
      <w:pPr>
        <w:pStyle w:val="Report-Body"/>
      </w:pPr>
    </w:p>
    <w:p>
      <w:pPr>
        <w:pStyle w:val="Heading3"/>
        <w:rPr>
          <w:b w:val="0"/>
          <w:i w:val="0"/>
          <w:strike w:val="0"/>
        </w:rPr>
      </w:pPr>
      <w:r>
        <w:rPr>
          <w:b/>
          <w:u w:val="none"/>
        </w:rPr>
        <w:t>Commentary on This Question</w:t>
      </w:r>
      <w:r>
        <w:rPr>
          <w:u w:val="none"/>
        </w:rPr>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The Second Circuit and Supreme Court jurisprudence emphasize the transformative use doctrine as a central but nuanced element in fair use analysis. Transformative use requires that a secondary work add something new with a further purpose or different character, thereby not merely superseding the original. The key inquiry is whether the new use changes the meaning, message, or purpose sufficiently, recognized as transformative, to support fair use, especially in criticism or commentary contexts. The Campbell decision established parody as a paradigmatic transformative use wherein verbatim copying may be necessary for critique, although the Supreme Court in Andy Warhol Foundation v. Goldsmith refined this by emphasizing that mere addition of new expression, meaning, or message does not automatically favor fair use if the secondary use shares the original’s purpose. Fair use “requires an analysis of the specific ‘use’” and the justification for copying, limiting fair use to uses that “target an original work” and compellingly “conjure up” the original to achieve their critique or commentary </w:t>
      </w:r>
      <w:hyperlink r:id="rId14" w:history="1">
        <w:r>
          <w:rPr>
            <w:rStyle w:val="Hyperlink"/>
            <w:rFonts w:ascii="Arial" w:eastAsia="Times New Roman" w:hAnsi="Arial" w:cs="Arial"/>
            <w:b w:val="0"/>
            <w:i w:val="0"/>
            <w:strike w:val="0"/>
            <w:color w:val="467886"/>
            <w:u w:val="none"/>
          </w:rPr>
          <w:t>COPYLAW § 15:37</w:t>
        </w:r>
      </w:hyperlink>
      <w:r>
        <w:rPr>
          <w:rFonts w:ascii="Arial" w:eastAsia="Times New Roman" w:hAnsi="Arial" w:cs="Arial"/>
          <w:b w:val="0"/>
          <w:i w:val="0"/>
          <w:strike w:val="0"/>
          <w:color w:val="1D1D1D"/>
          <w:u w:val="none"/>
        </w:rPr>
        <w:t>.</w:t>
        <w:br/>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u w:val="none"/>
        </w:rPr>
        <w:t xml:space="preserve">Regarding verbatim copying, the Second Circuit has not fixed a precise permissible percentage but suggests reasonableness depends on purpose and market effect. Entire works or substantial verbatim copying may be justified when necessary for the transformative purpose, especially in educational, research, or critical contexts, provided no market harm or substitution occurs </w:t>
      </w:r>
      <w:hyperlink r:id="rId15" w:history="1">
        <w:r>
          <w:rPr>
            <w:rStyle w:val="Hyperlink"/>
            <w:rFonts w:ascii="Arial" w:eastAsia="Times New Roman" w:hAnsi="Arial" w:cs="Arial"/>
            <w:b w:val="0"/>
            <w:i w:val="0"/>
            <w:strike w:val="0"/>
            <w:color w:val="467886"/>
            <w:u w:val="none"/>
          </w:rPr>
          <w:t>PATRYCOPY § 10:143</w:t>
        </w:r>
      </w:hyperlink>
      <w:r>
        <w:rPr>
          <w:rFonts w:ascii="Arial" w:eastAsia="Times New Roman" w:hAnsi="Arial" w:cs="Arial"/>
          <w:b w:val="0"/>
          <w:i w:val="0"/>
          <w:strike w:val="0"/>
          <w:color w:val="1D1D1D"/>
          <w:u w:val="none"/>
        </w:rPr>
        <w:t xml:space="preserve">. The amount copied must be reasonable relative to the critic’s purpose; excessive copying unrelated to criticism risks outweighing fair use. The “conjure up” standard from Campbell and refined in Warhol applies beyond parody but sets a high bar for copying justification in criticism and correction to prevent encroachment upon the copyright owner’s derivative rights </w:t>
      </w:r>
      <w:hyperlink r:id="rId14" w:history="1">
        <w:r>
          <w:rPr>
            <w:rStyle w:val="Hyperlink"/>
            <w:rFonts w:ascii="Arial" w:eastAsia="Times New Roman" w:hAnsi="Arial" w:cs="Arial"/>
            <w:b w:val="0"/>
            <w:i w:val="0"/>
            <w:strike w:val="0"/>
            <w:color w:val="467886"/>
            <w:u w:val="none"/>
          </w:rPr>
          <w:t>COPYLAW § 15:37</w:t>
        </w:r>
      </w:hyperlink>
      <w:r>
        <w:rPr>
          <w:rFonts w:ascii="Arial" w:eastAsia="Times New Roman" w:hAnsi="Arial" w:cs="Arial"/>
          <w:b w:val="0"/>
          <w:i w:val="0"/>
          <w:strike w:val="0"/>
          <w:color w:val="1D1D1D"/>
          <w:u w:val="none"/>
        </w:rPr>
        <w:t xml:space="preserve">, </w:t>
      </w:r>
      <w:hyperlink r:id="rId16" w:history="1">
        <w:r>
          <w:rPr>
            <w:rStyle w:val="Hyperlink"/>
            <w:rFonts w:ascii="Arial" w:eastAsia="Times New Roman" w:hAnsi="Arial" w:cs="Arial"/>
            <w:b w:val="0"/>
            <w:i w:val="0"/>
            <w:strike w:val="0"/>
            <w:color w:val="467886"/>
            <w:u w:val="none"/>
          </w:rPr>
          <w:t>LCOMTECH § 1:113</w:t>
        </w:r>
      </w:hyperlink>
      <w:r>
        <w:rPr>
          <w:rFonts w:ascii="Arial" w:eastAsia="Times New Roman" w:hAnsi="Arial" w:cs="Arial"/>
          <w:b w:val="0"/>
          <w:i w:val="0"/>
          <w:strike w:val="0"/>
          <w:color w:val="1D1D1D"/>
          <w:u w:val="none"/>
        </w:rPr>
        <w:t>.</w:t>
        <w:br/>
      </w:r>
    </w:p>
    <w:p w:rsidR="000911FB" w:rsidRPr="000F6139" w:rsidP="000911FB" w14:paraId="1C1F8CE1" w14:textId="40E81E35">
      <w:pPr>
        <w:pStyle w:val="Report-Body"/>
        <w:rPr>
          <w:i/>
          <w:iCs/>
          <w:color w:val="626262"/>
        </w:rPr>
      </w:pPr>
      <w:r>
        <w:rPr>
          <w:b w:val="0"/>
          <w:i/>
          <w:strike w:val="0"/>
          <w:color w:val="626262"/>
        </w:rPr>
        <w:t>Generated by AI. Not legal or tax advice. A qualified professional must verify accuracy and legal compliance.</w:t>
      </w:r>
    </w:p>
    <w:p w:rsidR="000911FB" w:rsidRPr="00E5063B" w:rsidP="000911FB" w14:paraId="016C5B73" w14:textId="5B4649AF">
      <w:pPr>
        <w:pStyle w:val="Report-Body"/>
      </w:pPr>
    </w:p>
    <w:p w:rsidR="000911FB" w:rsidP="00EC22E0" w14:paraId="6971FCAF" w14:textId="1A7F0E9B">
      <w:pPr>
        <w:spacing w:before="113" w:after="113"/>
        <w:rPr>
          <w:rFonts w:eastAsiaTheme="minorEastAsia"/>
          <w:b/>
        </w:rPr>
      </w:pPr>
    </w:p>
    <w:p w:rsidR="000911FB" w:rsidP="000911FB" w14:paraId="54F7B823" w14:textId="77777777">
      <w:pPr>
        <w:pStyle w:val="Report-Heading"/>
        <w:rPr>
          <w:rFonts w:eastAsiaTheme="majorEastAsia"/>
        </w:rPr>
      </w:pPr>
      <w:r>
        <w:rPr>
          <w:noProof/>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12065</wp:posOffset>
                </wp:positionV>
                <wp:extent cx="5905500" cy="0"/>
                <wp:effectExtent l="0" t="12700" r="12700" b="12700"/>
                <wp:wrapNone/>
                <wp:docPr id="283253753"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34" style="mso-wrap-distance-bottom:0;mso-wrap-distance-left:9pt;mso-wrap-distance-right:9pt;mso-wrap-distance-top:0;mso-wrap-style:square;position:absolute;visibility:visible;z-index:251659264" from="0,0.95pt" to="465pt,0.95pt" strokecolor="black" strokeweight="1.5pt">
                <v:stroke joinstyle="miter"/>
              </v:line>
            </w:pict>
          </mc:Fallback>
        </mc:AlternateContent>
      </w:r>
    </w:p>
    <w:p w:rsidR="000911FB" w:rsidP="000911FB" w14:paraId="3E600C81" w14:textId="77777777">
      <w:pPr>
        <w:pStyle w:val="Report-Heading"/>
      </w:pPr>
      <w:r w:rsidRPr="00956E15">
        <w:rPr>
          <w:rFonts w:eastAsiaTheme="majorEastAsia"/>
        </w:rPr>
        <w:t>Sources (</w:t>
      </w:r>
      <w:r>
        <w:rPr>
          <w:b w:val="0"/>
          <w:i w:val="0"/>
          <w:strike w:val="0"/>
        </w:rPr>
        <w:t>12</w:t>
      </w:r>
      <w:r w:rsidRPr="00956E15">
        <w:t>)</w:t>
      </w:r>
    </w:p>
    <w:p w:rsidR="000911FB" w:rsidRPr="00E5063B" w:rsidP="000911FB" w14:paraId="05CC7906" w14:textId="77777777">
      <w:pPr>
        <w:pStyle w:val="Report-Body"/>
      </w:pPr>
    </w:p>
    <w:p w:rsidR="000911FB" w:rsidP="000911FB" w14:paraId="3D36BA02" w14:textId="03D3B1FE">
      <w:pPr>
        <w:pStyle w:val="Report-Body"/>
      </w:pPr>
      <w:r>
        <w:rPr>
          <w:b/>
          <w:i w:val="0"/>
          <w:strike w:val="0"/>
        </w:rPr>
        <w:t>1</w:t>
      </w:r>
      <w:r w:rsidRPr="00755B14">
        <w:rPr>
          <w:b/>
          <w:bCs/>
        </w:rPr>
        <w:t>.</w:t>
      </w:r>
      <w:r>
        <w:t xml:space="preserve"> </w:t>
      </w:r>
      <w:r>
        <w:t xml:space="preserve"> </w:t>
      </w:r>
      <w:hyperlink r:id="rId4" w:history="1">
        <w:r>
          <w:rPr>
            <w:rStyle w:val="Hyperlink"/>
            <w:b/>
            <w:i w:val="0"/>
            <w:strike w:val="0"/>
            <w:color w:val="467886"/>
            <w:u w:val="single"/>
          </w:rPr>
          <w:t>Maxtone-Graham v. Burtchaell</w:t>
        </w:r>
      </w:hyperlink>
    </w:p>
    <w:p w:rsidR="000911FB" w:rsidRPr="00C67A9D" w:rsidP="000911FB" w14:paraId="778AA143" w14:textId="43CA2655">
      <w:pPr>
        <w:pStyle w:val="Report-Metadata"/>
        <w:rPr>
          <w:b w:val="0"/>
          <w:bCs w:val="0"/>
        </w:rPr>
      </w:pPr>
      <w:r>
        <w:rPr>
          <w:b/>
          <w:i w:val="0"/>
          <w:strike w:val="0"/>
        </w:rPr>
        <w:t>United States Court of Appeals, Second Circuit.</w:t>
      </w:r>
      <w:r w:rsidRPr="00C67A9D">
        <w:rPr>
          <w:b w:val="0"/>
          <w:bCs w:val="0"/>
        </w:rPr>
        <w:t xml:space="preserve">   •   </w:t>
      </w:r>
      <w:r>
        <w:rPr>
          <w:b/>
          <w:i w:val="0"/>
          <w:strike w:val="0"/>
        </w:rPr>
        <w:t>October 15, 1986</w:t>
      </w:r>
      <w:r w:rsidRPr="00C67A9D">
        <w:rPr>
          <w:b w:val="0"/>
          <w:bCs w:val="0"/>
        </w:rPr>
        <w:t xml:space="preserve">   •   </w:t>
      </w:r>
      <w:r>
        <w:rPr>
          <w:b/>
          <w:i w:val="0"/>
          <w:strike w:val="0"/>
        </w:rPr>
        <w:t>803 F.2d 1253</w:t>
      </w:r>
      <w:r w:rsidRPr="00C67A9D">
        <w:rPr>
          <w:b w:val="0"/>
          <w:bCs w:val="0"/>
        </w:rPr>
        <w:t xml:space="preserve">   •   </w:t>
      </w:r>
      <w:r>
        <w:rPr>
          <w:b/>
          <w:i w:val="0"/>
          <w:strike w:val="0"/>
        </w:rPr>
        <w:t>55 USLW 2218</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Approving 4.3% copying for critical commentary while establishing no absolute percentage rules for fair use</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3</w:t>
            </w:r>
            <w:r>
              <w:rPr>
                <w:rFonts w:ascii="Arial" w:eastAsia="Times New Roman" w:hAnsi="Arial" w:cs="Arial"/>
                <w:b w:val="0"/>
                <w:i w:val="0"/>
                <w:strike w:val="0"/>
                <w:color w:val="1D1D1D"/>
              </w:rPr>
              <w:br/>
              <w:t>...The Volume of Quotation* We next turn to the quantitative assessment of the amount and substantiality of the excerpts in relation to the copyrighted work as a whole. There are no absolute rules as to how much of a copyrighted work may be copied and still be considered a fair use....</w:t>
              <w:br/>
              <w:br/>
            </w:r>
            <w:r>
              <w:rPr>
                <w:rFonts w:ascii="Arial" w:eastAsia="Times New Roman" w:hAnsi="Arial" w:cs="Arial"/>
                <w:b/>
                <w:i w:val="0"/>
                <w:strike w:val="0"/>
                <w:color w:val="1D1D1D"/>
              </w:rPr>
              <w:t>Supporting section 2 of 3</w:t>
            </w:r>
            <w:r>
              <w:rPr>
                <w:rFonts w:ascii="Arial" w:eastAsia="Times New Roman" w:hAnsi="Arial" w:cs="Arial"/>
                <w:b w:val="0"/>
                <w:i w:val="0"/>
                <w:strike w:val="0"/>
                <w:color w:val="1D1D1D"/>
              </w:rPr>
              <w:br/>
              <w:t xml:space="preserve">...Nor can it be said that Burtchaell took the heart of </w:t>
            </w:r>
            <w:r>
              <w:rPr>
                <w:rFonts w:ascii="Arial" w:eastAsia="Times New Roman" w:hAnsi="Arial" w:cs="Arial"/>
                <w:b w:val="0"/>
                <w:i/>
                <w:strike w:val="0"/>
                <w:color w:val="1D1D1D"/>
              </w:rPr>
              <w:t>Pregnant by Mistake,</w:t>
            </w:r>
            <w:r>
              <w:rPr>
                <w:rFonts w:ascii="Arial" w:eastAsia="Times New Roman" w:hAnsi="Arial" w:cs="Arial"/>
                <w:b w:val="0"/>
                <w:i w:val="0"/>
                <w:strike w:val="0"/>
                <w:color w:val="1D1D1D"/>
              </w:rPr>
              <w:t xml:space="preserve"> since Maxtone-Graham's book consists of narratives by 17 women, and has no identifiable core that could be appropriated....</w:t>
              <w:br/>
              <w:br/>
            </w:r>
            <w:r>
              <w:rPr>
                <w:rFonts w:ascii="Arial" w:eastAsia="Times New Roman" w:hAnsi="Arial" w:cs="Arial"/>
                <w:b/>
                <w:i w:val="0"/>
                <w:strike w:val="0"/>
                <w:color w:val="1D1D1D"/>
              </w:rPr>
              <w:t>Supporting section 3 of 3</w:t>
            </w:r>
            <w:r>
              <w:rPr>
                <w:rFonts w:ascii="Arial" w:eastAsia="Times New Roman" w:hAnsi="Arial" w:cs="Arial"/>
                <w:b w:val="0"/>
                <w:i w:val="0"/>
                <w:strike w:val="0"/>
                <w:color w:val="1D1D1D"/>
              </w:rPr>
              <w:br/>
              <w:t xml:space="preserve">...In </w:t>
            </w:r>
            <w:r>
              <w:rPr>
                <w:rFonts w:ascii="Arial" w:eastAsia="Times New Roman" w:hAnsi="Arial" w:cs="Arial"/>
                <w:b w:val="0"/>
                <w:i/>
                <w:strike w:val="0"/>
                <w:color w:val="1D1D1D"/>
              </w:rPr>
              <w:t>Harper &amp; Row,</w:t>
            </w:r>
            <w:r>
              <w:rPr>
                <w:rFonts w:ascii="Arial" w:eastAsia="Times New Roman" w:hAnsi="Arial" w:cs="Arial"/>
                <w:b w:val="0"/>
                <w:i w:val="0"/>
                <w:strike w:val="0"/>
                <w:color w:val="1D1D1D"/>
              </w:rPr>
              <w:t xml:space="preserve"> the Supreme Court found that although the words quoted were an insubstantial portion of former President Ford's manuscript, “the Nation took what was essentially the heart of the book.” 105 S.Ct. at 2233 (quoting 557 F.Supp., at 1072)....</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2</w:t>
      </w:r>
      <w:r w:rsidRPr="00755B14">
        <w:rPr>
          <w:b/>
          <w:bCs/>
        </w:rPr>
        <w:t>.</w:t>
      </w:r>
      <w:r>
        <w:t xml:space="preserve"> </w:t>
      </w:r>
      <w:hyperlink r:id="rId5" w:history="1">
        <w:r>
          <w:pict>
            <v:shape id="_x0000_i1035" type="#_x0000_t75" alt="KeyCite Yellow Flag" style="width:16pt;height:16pt">
              <v:imagedata r:id="rId6" o:title=""/>
            </v:shape>
          </w:pict>
        </w:r>
      </w:hyperlink>
      <w:r>
        <w:t xml:space="preserve"> </w:t>
      </w:r>
      <w:hyperlink r:id="rId7" w:history="1">
        <w:r>
          <w:rPr>
            <w:rStyle w:val="Hyperlink"/>
            <w:b/>
            <w:i w:val="0"/>
            <w:strike w:val="0"/>
            <w:color w:val="467886"/>
            <w:u w:val="single"/>
          </w:rPr>
          <w:t>TufAmerica, Inc. v. Diamond</w:t>
        </w:r>
      </w:hyperlink>
    </w:p>
    <w:p w:rsidR="000911FB" w:rsidRPr="00C67A9D" w:rsidP="000911FB" w14:textId="43CA2655">
      <w:pPr>
        <w:pStyle w:val="Report-Metadata"/>
        <w:rPr>
          <w:b w:val="0"/>
          <w:bCs w:val="0"/>
        </w:rPr>
      </w:pPr>
      <w:r>
        <w:rPr>
          <w:b/>
          <w:i w:val="0"/>
          <w:strike w:val="0"/>
        </w:rPr>
        <w:t>United States District Court, S.D. New York.</w:t>
      </w:r>
      <w:r w:rsidRPr="00C67A9D">
        <w:rPr>
          <w:b w:val="0"/>
          <w:bCs w:val="0"/>
        </w:rPr>
        <w:t xml:space="preserve">   •   </w:t>
      </w:r>
      <w:r>
        <w:rPr>
          <w:b/>
          <w:i w:val="0"/>
          <w:strike w:val="0"/>
        </w:rPr>
        <w:t>September 10, 2013</w:t>
      </w:r>
      <w:r w:rsidRPr="00C67A9D">
        <w:rPr>
          <w:b w:val="0"/>
          <w:bCs w:val="0"/>
        </w:rPr>
        <w:t xml:space="preserve">   •   </w:t>
      </w:r>
      <w:r>
        <w:rPr>
          <w:b/>
          <w:i w:val="0"/>
          <w:strike w:val="0"/>
        </w:rPr>
        <w:t>968 F.Supp.2d 588</w:t>
      </w:r>
      <w:r w:rsidRPr="00C67A9D">
        <w:rPr>
          <w:b w:val="0"/>
          <w:bCs w:val="0"/>
        </w:rPr>
        <w:t xml:space="preserve">   •   </w:t>
      </w:r>
      <w:r>
        <w:rPr>
          <w:b/>
          <w:i w:val="0"/>
          <w:strike w:val="0"/>
        </w:rPr>
        <w:t>2013 WL 4830954</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Defining fragmented literal similarity test requiring both quantitative and qualitative significance analysis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...B. The Substantial Similarity Test. Plaintiff argues, however, that because the copying in this case is an example of "fragmented literal similarity," the question of substantial similarity should turn on "localized" rather than "global" similarity between the two pieces. Pl. Opp. 11-12. As the Second Circuit has noted, "(t)he Nimmer treatise helpfully refers to exact copying of a portion of a work as 'fragmented literal similarity,' in contrast to 'comprehensive nonliteral similarity,' which refers to an alleged copy that is qualitatively but</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3</w:t>
      </w:r>
      <w:r w:rsidRPr="00755B14">
        <w:rPr>
          <w:b/>
          <w:bCs/>
        </w:rPr>
        <w:t>.</w:t>
      </w:r>
      <w:r>
        <w:t xml:space="preserve"> </w:t>
      </w:r>
      <w:hyperlink r:id="rId8" w:history="1">
        <w:r>
          <w:pict>
            <v:shape id="_x0000_i1036" type="#_x0000_t75" alt="KeyCite Yellow Flag" style="width:16pt;height:16pt">
              <v:imagedata r:id="rId6" o:title=""/>
            </v:shape>
          </w:pict>
        </w:r>
      </w:hyperlink>
      <w:r>
        <w:t xml:space="preserve"> </w:t>
      </w:r>
      <w:hyperlink r:id="rId9" w:history="1">
        <w:r>
          <w:rPr>
            <w:rStyle w:val="Hyperlink"/>
            <w:b/>
            <w:i w:val="0"/>
            <w:strike w:val="0"/>
            <w:color w:val="467886"/>
            <w:u w:val="single"/>
          </w:rPr>
          <w:t>Andy Warhol Foundation for the Visual Arts, Inc. v. Goldsmith</w:t>
        </w:r>
      </w:hyperlink>
    </w:p>
    <w:p w:rsidR="000911FB" w:rsidRPr="00C67A9D" w:rsidP="000911FB" w14:textId="43CA2655">
      <w:pPr>
        <w:pStyle w:val="Report-Metadata"/>
        <w:rPr>
          <w:b w:val="0"/>
          <w:bCs w:val="0"/>
        </w:rPr>
      </w:pPr>
      <w:r>
        <w:rPr>
          <w:b/>
          <w:i w:val="0"/>
          <w:strike w:val="0"/>
        </w:rPr>
        <w:t>Supreme Court of the United States.</w:t>
      </w:r>
      <w:r w:rsidRPr="00C67A9D">
        <w:rPr>
          <w:b w:val="0"/>
          <w:bCs w:val="0"/>
        </w:rPr>
        <w:t xml:space="preserve">   •   </w:t>
      </w:r>
      <w:r>
        <w:rPr>
          <w:b/>
          <w:i w:val="0"/>
          <w:strike w:val="0"/>
        </w:rPr>
        <w:t>May 18, 2023</w:t>
      </w:r>
      <w:r w:rsidRPr="00C67A9D">
        <w:rPr>
          <w:b w:val="0"/>
          <w:bCs w:val="0"/>
        </w:rPr>
        <w:t xml:space="preserve">   •   </w:t>
      </w:r>
      <w:r>
        <w:rPr>
          <w:b/>
          <w:i w:val="0"/>
          <w:strike w:val="0"/>
        </w:rPr>
        <w:t>598 U.S. 508</w:t>
      </w:r>
      <w:r w:rsidRPr="00C67A9D">
        <w:rPr>
          <w:b w:val="0"/>
          <w:bCs w:val="0"/>
        </w:rPr>
        <w:t xml:space="preserve">   •   </w:t>
      </w:r>
      <w:r>
        <w:rPr>
          <w:b/>
          <w:i w:val="0"/>
          <w:strike w:val="0"/>
        </w:rPr>
        <w:t>143 S.Ct. 1258</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Extending Campbell's conjure up standard beyond parody while requiring critical bearing on original work</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3</w:t>
            </w:r>
            <w:r>
              <w:rPr>
                <w:rFonts w:ascii="Arial" w:eastAsia="Times New Roman" w:hAnsi="Arial" w:cs="Arial"/>
                <w:b w:val="0"/>
                <w:i w:val="0"/>
                <w:strike w:val="0"/>
                <w:color w:val="1D1D1D"/>
              </w:rPr>
              <w:br/>
              <w:t xml:space="preserve">...Similarly, other commentary or criticism that targets an original work may have compelling reason to “ ‘conjure up’ ” the original by borrowing from it. </w:t>
            </w:r>
            <w:r>
              <w:rPr>
                <w:rFonts w:ascii="Arial" w:eastAsia="Times New Roman" w:hAnsi="Arial" w:cs="Arial"/>
                <w:b w:val="0"/>
                <w:i/>
                <w:strike w:val="0"/>
                <w:color w:val="1D1D1D"/>
              </w:rPr>
              <w:t>Id.</w:t>
            </w:r>
            <w:r>
              <w:rPr>
                <w:rFonts w:ascii="Arial" w:eastAsia="Times New Roman" w:hAnsi="Arial" w:cs="Arial"/>
                <w:b w:val="0"/>
                <w:i w:val="0"/>
                <w:strike w:val="0"/>
                <w:color w:val="1D1D1D"/>
              </w:rPr>
              <w:t>, at 588, 114 S.Ct. 1164.7 * An independent justification like this is particularly relevant to assessing fair use where an original work and copying use share the same or highly similar purposes, or where wide dissemination of a secondary work would otherwise run the risk of substitution for the original or licensed derivatives of it....</w:t>
              <w:br/>
              <w:br/>
            </w:r>
            <w:r>
              <w:rPr>
                <w:rFonts w:ascii="Arial" w:eastAsia="Times New Roman" w:hAnsi="Arial" w:cs="Arial"/>
                <w:b/>
                <w:i w:val="0"/>
                <w:strike w:val="0"/>
                <w:color w:val="1D1D1D"/>
              </w:rPr>
              <w:t>Supporting section 2 of 3</w:t>
            </w:r>
            <w:r>
              <w:rPr>
                <w:rFonts w:ascii="Arial" w:eastAsia="Times New Roman" w:hAnsi="Arial" w:cs="Arial"/>
                <w:b w:val="0"/>
                <w:i w:val="0"/>
                <w:strike w:val="0"/>
                <w:color w:val="1D1D1D"/>
              </w:rPr>
              <w:br/>
              <w:t xml:space="preserve">...More generally, when “commentary has no critical bearing on the substance or style of the original composition,... the claim to fairness in borrowing from another's work diminishes accordingly (if it does not vanish), and other factors, like the extent of its commerciality, loom larger.” </w:t>
            </w:r>
            <w:r>
              <w:rPr>
                <w:rFonts w:ascii="Arial" w:eastAsia="Times New Roman" w:hAnsi="Arial" w:cs="Arial"/>
                <w:b w:val="0"/>
                <w:i/>
                <w:strike w:val="0"/>
                <w:color w:val="1D1D1D"/>
              </w:rPr>
              <w:t>Id.</w:t>
            </w:r>
            <w:r>
              <w:rPr>
                <w:rFonts w:ascii="Arial" w:eastAsia="Times New Roman" w:hAnsi="Arial" w:cs="Arial"/>
                <w:b w:val="0"/>
                <w:i w:val="0"/>
                <w:strike w:val="0"/>
                <w:color w:val="1D1D1D"/>
              </w:rPr>
              <w:t>, at 580, 114 S.Ct. 1164; see also [*id....</w:t>
              <w:br/>
              <w:br/>
            </w:r>
            <w:r>
              <w:rPr>
                <w:rFonts w:ascii="Arial" w:eastAsia="Times New Roman" w:hAnsi="Arial" w:cs="Arial"/>
                <w:b/>
                <w:i w:val="0"/>
                <w:strike w:val="0"/>
                <w:color w:val="1D1D1D"/>
              </w:rPr>
              <w:t>Supporting section 3 of 3</w:t>
            </w:r>
            <w:r>
              <w:rPr>
                <w:rFonts w:ascii="Arial" w:eastAsia="Times New Roman" w:hAnsi="Arial" w:cs="Arial"/>
                <w:b w:val="0"/>
                <w:i w:val="0"/>
                <w:strike w:val="0"/>
                <w:color w:val="1D1D1D"/>
              </w:rPr>
              <w:br/>
              <w:t xml:space="preserve">...Like satire that does not target an original work, AWF's asserted commentary “can stand on its own two feet and so requires justification for the very act of borrowing.” </w:t>
            </w:r>
            <w:r>
              <w:rPr>
                <w:rFonts w:ascii="Arial" w:eastAsia="Times New Roman" w:hAnsi="Arial" w:cs="Arial"/>
                <w:b w:val="0"/>
                <w:i/>
                <w:strike w:val="0"/>
                <w:color w:val="1D1D1D"/>
              </w:rPr>
              <w:t>Id.</w:t>
            </w:r>
            <w:r>
              <w:rPr>
                <w:rFonts w:ascii="Arial" w:eastAsia="Times New Roman" w:hAnsi="Arial" w:cs="Arial"/>
                <w:b w:val="0"/>
                <w:i w:val="0"/>
                <w:strike w:val="0"/>
                <w:color w:val="1D1D1D"/>
              </w:rPr>
              <w:t>, at 581, 114 S.Ct. 1164....</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4</w:t>
      </w:r>
      <w:r w:rsidRPr="00755B14">
        <w:rPr>
          <w:b/>
          <w:bCs/>
        </w:rPr>
        <w:t>.</w:t>
      </w:r>
      <w:r>
        <w:t xml:space="preserve"> </w:t>
      </w:r>
      <w:r>
        <w:t xml:space="preserve"> </w:t>
      </w:r>
      <w:hyperlink r:id="rId10" w:history="1">
        <w:r>
          <w:rPr>
            <w:rStyle w:val="Hyperlink"/>
            <w:b/>
            <w:i w:val="0"/>
            <w:strike w:val="0"/>
            <w:color w:val="467886"/>
            <w:u w:val="single"/>
          </w:rPr>
          <w:t>In re DMCA Section 512(h) Subpoena to YouTube (Google, Inc.)</w:t>
        </w:r>
      </w:hyperlink>
    </w:p>
    <w:p w:rsidR="000911FB" w:rsidRPr="00C67A9D" w:rsidP="000911FB" w14:textId="43CA2655">
      <w:pPr>
        <w:pStyle w:val="Report-Metadata"/>
        <w:rPr>
          <w:b w:val="0"/>
          <w:bCs w:val="0"/>
        </w:rPr>
      </w:pPr>
      <w:r>
        <w:rPr>
          <w:b/>
          <w:i w:val="0"/>
          <w:strike w:val="0"/>
        </w:rPr>
        <w:t>United States District Court, S.D. New York.</w:t>
      </w:r>
      <w:r w:rsidRPr="00C67A9D">
        <w:rPr>
          <w:b w:val="0"/>
          <w:bCs w:val="0"/>
        </w:rPr>
        <w:t xml:space="preserve">   •   </w:t>
      </w:r>
      <w:r>
        <w:rPr>
          <w:b/>
          <w:i w:val="0"/>
          <w:strike w:val="0"/>
        </w:rPr>
        <w:t>January 18, 2022</w:t>
      </w:r>
      <w:r w:rsidRPr="00C67A9D">
        <w:rPr>
          <w:b w:val="0"/>
          <w:bCs w:val="0"/>
        </w:rPr>
        <w:t xml:space="preserve">   •   </w:t>
      </w:r>
      <w:r>
        <w:rPr>
          <w:b/>
          <w:i w:val="0"/>
          <w:strike w:val="0"/>
        </w:rPr>
        <w:t>581 F.Supp.3d 509</w:t>
      </w:r>
      <w:r w:rsidRPr="00C67A9D">
        <w:rPr>
          <w:b w:val="0"/>
          <w:bCs w:val="0"/>
        </w:rPr>
        <w:t xml:space="preserve">   •   </w:t>
      </w:r>
      <w:r>
        <w:rPr>
          <w:b/>
          <w:i w:val="0"/>
          <w:strike w:val="0"/>
        </w:rPr>
        <w:t>2022 WL 160270</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Establishing strong presumption favoring criticism and commentary under first fair use factor</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...A. Purpose and Character of Use. It is well-established that "(a)mong the best recognized justifications for copying from another's work is to provide comment on it or criticism of it." Authors Guild v. Google, Inc., 804 F.3d 202, 215 (2d Cir. 2015), cert. denied sub nom. The Authors Guild v. Google, Inc., 578 U.S. 941, 136 S. Ct. 1658, 194 L.Ed.2d 800 (2016). Indeed, the Second Circuit has held "there is a strong presumption that factor one favors the defendant if the allegedly infringing work fits the description of uses described in section</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5</w:t>
      </w:r>
      <w:r w:rsidRPr="00755B14">
        <w:rPr>
          <w:b/>
          <w:bCs/>
        </w:rPr>
        <w:t>.</w:t>
      </w:r>
      <w:r>
        <w:t xml:space="preserve"> </w:t>
      </w:r>
      <w:hyperlink r:id="rId11" w:history="1">
        <w:r>
          <w:pict>
            <v:shape id="_x0000_i1037" type="#_x0000_t75" alt="KeyCite Yellow Flag" style="width:16pt;height:16pt">
              <v:imagedata r:id="rId6" o:title=""/>
            </v:shape>
          </w:pict>
        </w:r>
      </w:hyperlink>
      <w:r>
        <w:t xml:space="preserve"> </w:t>
      </w:r>
      <w:hyperlink r:id="rId12" w:history="1">
        <w:r>
          <w:rPr>
            <w:rStyle w:val="Hyperlink"/>
            <w:b/>
            <w:i w:val="0"/>
            <w:strike w:val="0"/>
            <w:color w:val="467886"/>
            <w:u w:val="single"/>
          </w:rPr>
          <w:t>Authors Guild v. Google, Inc.</w:t>
        </w:r>
      </w:hyperlink>
    </w:p>
    <w:p w:rsidR="000911FB" w:rsidRPr="00C67A9D" w:rsidP="000911FB" w14:textId="43CA2655">
      <w:pPr>
        <w:pStyle w:val="Report-Metadata"/>
        <w:rPr>
          <w:b w:val="0"/>
          <w:bCs w:val="0"/>
        </w:rPr>
      </w:pPr>
      <w:r>
        <w:rPr>
          <w:b/>
          <w:i w:val="0"/>
          <w:strike w:val="0"/>
        </w:rPr>
        <w:t>United States Court of Appeals, Second Circuit.</w:t>
      </w:r>
      <w:r w:rsidRPr="00C67A9D">
        <w:rPr>
          <w:b w:val="0"/>
          <w:bCs w:val="0"/>
        </w:rPr>
        <w:t xml:space="preserve">   •   </w:t>
      </w:r>
      <w:r>
        <w:rPr>
          <w:b/>
          <w:i w:val="0"/>
          <w:strike w:val="0"/>
        </w:rPr>
        <w:t>October 16, 2015</w:t>
      </w:r>
      <w:r w:rsidRPr="00C67A9D">
        <w:rPr>
          <w:b w:val="0"/>
          <w:bCs w:val="0"/>
        </w:rPr>
        <w:t xml:space="preserve">   •   </w:t>
      </w:r>
      <w:r>
        <w:rPr>
          <w:b/>
          <w:i w:val="0"/>
          <w:strike w:val="0"/>
        </w:rPr>
        <w:t>804 F.3d 202</w:t>
      </w:r>
      <w:r w:rsidRPr="00C67A9D">
        <w:rPr>
          <w:b w:val="0"/>
          <w:bCs w:val="0"/>
        </w:rPr>
        <w:t xml:space="preserve">   •   </w:t>
      </w:r>
      <w:r>
        <w:rPr>
          <w:b/>
          <w:i w:val="0"/>
          <w:strike w:val="0"/>
        </w:rPr>
        <w:t>2015 WL 6079426</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Recognizing criticism and commentary as among best justifications for copying under fair use</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...Among the best recognized justifications for copying from another's work under the transformative purpose factor of fair use is to provide comment on it or criticism of it. 17 U.S.C.A. S 107....</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6</w:t>
      </w:r>
      <w:r w:rsidRPr="00755B14">
        <w:rPr>
          <w:b/>
          <w:bCs/>
        </w:rPr>
        <w:t>.</w:t>
      </w:r>
      <w:r>
        <w:t xml:space="preserve"> </w:t>
      </w:r>
      <w:r>
        <w:t xml:space="preserve"> </w:t>
      </w:r>
      <w:hyperlink r:id="rId13" w:history="1">
        <w:r>
          <w:rPr>
            <w:rStyle w:val="Hyperlink"/>
            <w:b/>
            <w:i w:val="0"/>
            <w:strike w:val="0"/>
            <w:color w:val="467886"/>
            <w:u w:val="single"/>
          </w:rPr>
          <w:t>Penguin Random House LLC v. Colting</w:t>
        </w:r>
      </w:hyperlink>
    </w:p>
    <w:p w:rsidR="000911FB" w:rsidRPr="00C67A9D" w:rsidP="000911FB" w14:textId="43CA2655">
      <w:pPr>
        <w:pStyle w:val="Report-Metadata"/>
        <w:rPr>
          <w:b w:val="0"/>
          <w:bCs w:val="0"/>
        </w:rPr>
      </w:pPr>
      <w:r>
        <w:rPr>
          <w:b/>
          <w:i w:val="0"/>
          <w:strike w:val="0"/>
        </w:rPr>
        <w:t>United States District Court, S.D. New York.</w:t>
      </w:r>
      <w:r w:rsidRPr="00C67A9D">
        <w:rPr>
          <w:b w:val="0"/>
          <w:bCs w:val="0"/>
        </w:rPr>
        <w:t xml:space="preserve">   •   </w:t>
      </w:r>
      <w:r>
        <w:rPr>
          <w:b/>
          <w:i w:val="0"/>
          <w:strike w:val="0"/>
        </w:rPr>
        <w:t>September 07, 2017</w:t>
      </w:r>
      <w:r w:rsidRPr="00C67A9D">
        <w:rPr>
          <w:b w:val="0"/>
          <w:bCs w:val="0"/>
        </w:rPr>
        <w:t xml:space="preserve">   •   </w:t>
      </w:r>
      <w:r>
        <w:rPr>
          <w:b/>
          <w:i w:val="0"/>
          <w:strike w:val="0"/>
        </w:rPr>
        <w:t>270 F.Supp.3d 736</w:t>
      </w:r>
      <w:r w:rsidRPr="00C67A9D">
        <w:rPr>
          <w:b w:val="0"/>
          <w:bCs w:val="0"/>
        </w:rPr>
        <w:t xml:space="preserve">   •   </w:t>
      </w:r>
      <w:r>
        <w:rPr>
          <w:b/>
          <w:i w:val="0"/>
          <w:strike w:val="0"/>
        </w:rPr>
        <w:t>2017 WL 3977000</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AI document summary</w:t>
            </w:r>
            <w:r>
              <w:rPr>
                <w:rFonts w:ascii="Arial" w:eastAsia="Times New Roman" w:hAnsi="Arial" w:cs="Arial"/>
                <w:b w:val="0"/>
                <w:i w:val="0"/>
                <w:strike w:val="0"/>
                <w:color w:val="1D1D1D"/>
              </w:rPr>
              <w:br/>
              <w:t>Finding substantial copying not necessary when only minimal pages devoted to actual analysis</w:t>
            </w:r>
          </w:p>
        </w:tc>
      </w:tr>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...Amount and substantiality of use of famous copyrighted novels by alleged infringers, who published illustrated children's books based upon novels, weighed against a determination that infringers' use of novels was fair use; nearly all of infringers' books were devoted to telling copyrighted stories, with only two pages purporting to analyze stories, so infringers copying was not necessary to serve a transformative purpose, like providing commentary or criticism. 17 U.S.C.A. S 107(3)....</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7</w:t>
      </w:r>
      <w:r w:rsidRPr="00755B14">
        <w:rPr>
          <w:b/>
          <w:bCs/>
        </w:rPr>
        <w:t>.</w:t>
      </w:r>
      <w:r>
        <w:t xml:space="preserve"> </w:t>
      </w:r>
      <w:r>
        <w:t xml:space="preserve"> </w:t>
      </w:r>
      <w:hyperlink r:id="rId14" w:history="1">
        <w:r>
          <w:rPr>
            <w:rStyle w:val="Hyperlink"/>
            <w:b/>
            <w:i w:val="0"/>
            <w:strike w:val="0"/>
            <w:color w:val="467886"/>
            <w:u w:val="single"/>
          </w:rPr>
          <w:t>§ 15:37. Andy Warhol Foundation for the Visual Arts, Inc. v. Goldsmith : Works of art—The Majority Opinion</w:t>
        </w:r>
      </w:hyperlink>
    </w:p>
    <w:p w:rsidR="000911FB" w:rsidRPr="00C67A9D" w:rsidP="000911FB" w14:textId="43CA2655">
      <w:pPr>
        <w:pStyle w:val="Report-Metadata"/>
        <w:rPr>
          <w:b w:val="0"/>
          <w:bCs w:val="0"/>
        </w:rPr>
      </w:pPr>
      <w:r>
        <w:rPr>
          <w:b/>
          <w:i w:val="0"/>
          <w:strike w:val="0"/>
        </w:rPr>
        <w:t>Law of Copyright</w:t>
      </w:r>
      <w:r w:rsidRPr="00C67A9D">
        <w:rPr>
          <w:b w:val="0"/>
          <w:bCs w:val="0"/>
        </w:rPr>
        <w:t xml:space="preserve">   •   </w:t>
      </w:r>
      <w:r>
        <w:rPr>
          <w:b/>
          <w:i w:val="0"/>
          <w:strike w:val="0"/>
        </w:rPr>
        <w:t>COPYLAW § 15:37</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3</w:t>
            </w:r>
            <w:r>
              <w:rPr>
                <w:rFonts w:ascii="Arial" w:eastAsia="Times New Roman" w:hAnsi="Arial" w:cs="Arial"/>
                <w:b w:val="0"/>
                <w:i w:val="0"/>
                <w:strike w:val="0"/>
                <w:color w:val="1D1D1D"/>
              </w:rPr>
              <w:br/>
              <w:t>...After summarizing the facts and holding in Campbell, the majority then drew two lessons from that opinion. First, although “[t]he commercial nature of the use is not dispositive,” (a proposition the majority in Campbell had worked hard to establish), “it is relevant.”[10] Second, the majority returned to Campbell's distinction “between parody (which targets an author or work for humor or ridicule) and satire (which ridicules society but does not necessarily target an author or work).”[11] From this it drew the conclusion that “the first factor</w:t>
              <w:br/>
              <w:br/>
            </w:r>
            <w:r>
              <w:rPr>
                <w:rFonts w:ascii="Arial" w:eastAsia="Times New Roman" w:hAnsi="Arial" w:cs="Arial"/>
                <w:b/>
                <w:i w:val="0"/>
                <w:strike w:val="0"/>
                <w:color w:val="1D1D1D"/>
              </w:rPr>
              <w:t>Supporting section 2 of 3</w:t>
            </w:r>
            <w:r>
              <w:rPr>
                <w:rFonts w:ascii="Arial" w:eastAsia="Times New Roman" w:hAnsi="Arial" w:cs="Arial"/>
                <w:b w:val="0"/>
                <w:i w:val="0"/>
                <w:strike w:val="0"/>
                <w:color w:val="1D1D1D"/>
              </w:rPr>
              <w:br/>
              <w:t>...Instead of focusing on “new expression, meaning, or message,” the majority opinion in Warhol blesses a different strand of the post-Campbell case law in the Courts of Appeals: an emphasis on whether the purpose of the use is different from the purpose of the original work:Whether a use shares the purpose or character of an original work, or instead has a further purpose or different character, is a matter of degree. Most copying has some further purpose, in the sense that copying is socially useful ex post. Many secondary works add something</w:t>
              <w:br/>
              <w:br/>
            </w:r>
            <w:r>
              <w:rPr>
                <w:rFonts w:ascii="Arial" w:eastAsia="Times New Roman" w:hAnsi="Arial" w:cs="Arial"/>
                <w:b/>
                <w:i w:val="0"/>
                <w:strike w:val="0"/>
                <w:color w:val="1D1D1D"/>
              </w:rPr>
              <w:t>Supporting section 3 of 3</w:t>
            </w:r>
            <w:r>
              <w:rPr>
                <w:rFonts w:ascii="Arial" w:eastAsia="Times New Roman" w:hAnsi="Arial" w:cs="Arial"/>
                <w:b w:val="0"/>
                <w:i w:val="0"/>
                <w:strike w:val="0"/>
                <w:color w:val="1D1D1D"/>
              </w:rPr>
              <w:br/>
              <w:t>...This is quite a narrow view of fair use. Although Campbell drew a distinction between parody and satire, it did not hold that satire was ineligible for fair use treatment; it only held that, in some circumstances, satire would require a greater justification for the borrowing.[15] In particular, the Campbell court indicated that “looser forms of parody” and “satire” would pass muster in circumstances “when there is little or no risk of market substitution, whether because of the large extent of transformation of the earlier work, [or] the small</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8</w:t>
      </w:r>
      <w:r w:rsidRPr="00755B14">
        <w:rPr>
          <w:b/>
          <w:bCs/>
        </w:rPr>
        <w:t>.</w:t>
      </w:r>
      <w:r>
        <w:t xml:space="preserve"> </w:t>
      </w:r>
      <w:r>
        <w:t xml:space="preserve"> </w:t>
      </w:r>
      <w:hyperlink r:id="rId15" w:history="1">
        <w:r>
          <w:rPr>
            <w:rStyle w:val="Hyperlink"/>
            <w:b/>
            <w:i w:val="0"/>
            <w:strike w:val="0"/>
            <w:color w:val="467886"/>
            <w:u w:val="single"/>
          </w:rPr>
          <w:t>§ 10:143. Copying entire work</w:t>
        </w:r>
      </w:hyperlink>
    </w:p>
    <w:p w:rsidR="000911FB" w:rsidRPr="00C67A9D" w:rsidP="000911FB" w14:textId="43CA2655">
      <w:pPr>
        <w:pStyle w:val="Report-Metadata"/>
        <w:rPr>
          <w:b w:val="0"/>
          <w:bCs w:val="0"/>
        </w:rPr>
      </w:pPr>
      <w:r>
        <w:rPr>
          <w:b/>
          <w:i w:val="0"/>
          <w:strike w:val="0"/>
        </w:rPr>
        <w:t>Patry on Copyright</w:t>
      </w:r>
      <w:r w:rsidRPr="00C67A9D">
        <w:rPr>
          <w:b w:val="0"/>
          <w:bCs w:val="0"/>
        </w:rPr>
        <w:t xml:space="preserve">   •   </w:t>
      </w:r>
      <w:r>
        <w:rPr>
          <w:b/>
          <w:i w:val="0"/>
          <w:strike w:val="0"/>
        </w:rPr>
        <w:t>PATRYCOPY § 10:143</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2</w:t>
            </w:r>
            <w:r>
              <w:rPr>
                <w:rFonts w:ascii="Arial" w:eastAsia="Times New Roman" w:hAnsi="Arial" w:cs="Arial"/>
                <w:b w:val="0"/>
                <w:i w:val="0"/>
                <w:strike w:val="0"/>
                <w:color w:val="1D1D1D"/>
              </w:rPr>
              <w:br/>
              <w:t>...Authors Guild, Inc. v. HathiTrust, 755 F.3 d 87, 98 (2 d Cir. 2014) (“For some purposes, it may be necessary to copy the entire copyrighted work, in which case Factor Three does not weight against a finding of fair use.”); Swatch Group Management Services Ltd. v. Bloomberg L.P., 756 F.3 d 73, 90 (2 d Cir. 2014); Bill Graham Archives v. Dorling Kindersley, Ltd., 448 F.3 d 605, 613 (2 d Cir. 2006); Ferdman v. CBS Interactive Inc., 342 F. Supp. 3 d 515, 539-540 (S.D. N.Y. 2018) (finding copying of entire photograph to result in a neutral factor</w:t>
              <w:br/>
              <w:br/>
            </w:r>
            <w:r>
              <w:rPr>
                <w:rFonts w:ascii="Arial" w:eastAsia="Times New Roman" w:hAnsi="Arial" w:cs="Arial"/>
                <w:b/>
                <w:i w:val="0"/>
                <w:strike w:val="0"/>
                <w:color w:val="1D1D1D"/>
              </w:rPr>
              <w:t>Supporting section 2 of 2</w:t>
            </w:r>
            <w:r>
              <w:rPr>
                <w:rFonts w:ascii="Arial" w:eastAsia="Times New Roman" w:hAnsi="Arial" w:cs="Arial"/>
                <w:b w:val="0"/>
                <w:i w:val="0"/>
                <w:strike w:val="0"/>
                <w:color w:val="1D1D1D"/>
              </w:rPr>
              <w:br/>
              <w:t>...A much-cited discussion of the issue is Judge Leval's in Authors Guild v. Google Inc.[22] Following the approach taken in HathiTrust, Judge Leval wrote:The third statutory factor instructs us to consider “the amount and substantiality of the portion used in relation to the copyrighted work as a whole.” The clear implication of the third factor is that a finding of fair use is more likely when small amounts, or less important passages, are copied than when the copying is extensive, or encompasses the most important parts of the original. The</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D3B1FE">
      <w:pPr>
        <w:pStyle w:val="Report-Body"/>
      </w:pPr>
      <w:r>
        <w:rPr>
          <w:b/>
          <w:i w:val="0"/>
          <w:strike w:val="0"/>
        </w:rPr>
        <w:t>9</w:t>
      </w:r>
      <w:r w:rsidRPr="00755B14">
        <w:rPr>
          <w:b/>
          <w:bCs/>
        </w:rPr>
        <w:t>.</w:t>
      </w:r>
      <w:r>
        <w:t xml:space="preserve"> </w:t>
      </w:r>
      <w:r>
        <w:t xml:space="preserve"> </w:t>
      </w:r>
      <w:hyperlink r:id="rId16" w:history="1">
        <w:r>
          <w:rPr>
            <w:rStyle w:val="Hyperlink"/>
            <w:b/>
            <w:i w:val="0"/>
            <w:strike w:val="0"/>
            <w:color w:val="467886"/>
            <w:u w:val="single"/>
          </w:rPr>
          <w:t>§ 1:113. Fair use—Transformative uses</w:t>
        </w:r>
      </w:hyperlink>
    </w:p>
    <w:p w:rsidR="000911FB" w:rsidRPr="00C67A9D" w:rsidP="000911FB" w14:textId="43CA2655">
      <w:pPr>
        <w:pStyle w:val="Report-Metadata"/>
        <w:rPr>
          <w:b w:val="0"/>
          <w:bCs w:val="0"/>
        </w:rPr>
      </w:pPr>
      <w:r>
        <w:rPr>
          <w:b/>
          <w:i w:val="0"/>
          <w:strike w:val="0"/>
        </w:rPr>
        <w:t>Law of Computer Technology</w:t>
      </w:r>
      <w:r w:rsidRPr="00C67A9D">
        <w:rPr>
          <w:b w:val="0"/>
          <w:bCs w:val="0"/>
        </w:rPr>
        <w:t xml:space="preserve">   •   </w:t>
      </w:r>
      <w:r>
        <w:rPr>
          <w:b/>
          <w:i w:val="0"/>
          <w:strike w:val="0"/>
        </w:rPr>
        <w:t>LCOMTECH § 1:113</w:t>
      </w:r>
      <w:r w:rsidRPr="00C67A9D">
        <w:rPr>
          <w:b w:val="0"/>
          <w:bCs w:val="0"/>
        </w:rPr>
        <w:br/>
      </w: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Supporting section 1 of 1</w:t>
            </w:r>
            <w:r>
              <w:rPr>
                <w:rFonts w:ascii="Arial" w:eastAsia="Times New Roman" w:hAnsi="Arial" w:cs="Arial"/>
                <w:b w:val="0"/>
                <w:i w:val="0"/>
                <w:strike w:val="0"/>
                <w:color w:val="1D1D1D"/>
              </w:rPr>
              <w:br/>
              <w:t>...The Copyright Act lists four factors to be evaluated in determining fair use:[24] the purpose and character of the use; the nature of the copyrighted work; the amount used; the effect on market value. All four factors are to be explored, and the results weighed together, in light of the purposes of copyright.[25] In the Supreme Court AWF did not challenge the Second Circuit's determination that the last three factors inclined in favor of Goldsmith.[26] Thus, said the Court, speaking through Justice Sotomayor:[27] “In this Court, the sole question</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pPr>
        <w:pStyle w:val="Report-SubheadLvl1"/>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sz w:val="26"/>
        </w:rPr>
        <w:t>Additional sources</w:t>
      </w:r>
    </w:p>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1D1D1D"/>
        </w:rPr>
        <w:t>These sources are not cited in your report, but can provide context that may be helpful.</w:t>
      </w:r>
    </w:p>
    <w:p w:rsidR="000911FB" w:rsidRPr="00E5063B" w:rsidP="000911FB" w14:paraId="5C581A35" w14:textId="77777777">
      <w:pPr>
        <w:spacing w:before="113" w:after="113"/>
        <w:rPr>
          <w:rFonts w:cs="Arial"/>
          <w:b/>
          <w:sz w:val="16"/>
        </w:rPr>
      </w:pPr>
    </w:p>
    <w:p w:rsidR="000911FB" w:rsidP="000911FB" w14:paraId="3AF2579E" w14:textId="03B1B35D">
      <w:pPr>
        <w:pStyle w:val="Report-Body"/>
      </w:pPr>
      <w:r>
        <w:rPr>
          <w:b/>
          <w:i w:val="0"/>
          <w:strike w:val="0"/>
        </w:rPr>
        <w:t>10</w:t>
      </w:r>
      <w:r w:rsidRPr="00755B14">
        <w:rPr>
          <w:b/>
          <w:bCs/>
        </w:rPr>
        <w:t>.</w:t>
      </w:r>
      <w:r w:rsidRPr="00E5063B">
        <w:t xml:space="preserve"> </w:t>
      </w:r>
      <w:r>
        <w:t xml:space="preserve"> </w:t>
      </w:r>
      <w:hyperlink r:id="rId17" w:history="1">
        <w:r>
          <w:rPr>
            <w:rStyle w:val="Hyperlink"/>
            <w:b/>
            <w:i w:val="0"/>
            <w:strike w:val="0"/>
            <w:color w:val="467886"/>
            <w:u w:val="single"/>
          </w:rPr>
          <w:t>Copyright Litigation: First Circuit Infringement Claims and Defenses Law Checklist</w:t>
        </w:r>
      </w:hyperlink>
    </w:p>
    <w:p w:rsidR="000911FB" w:rsidRPr="00C67A9D" w:rsidP="000911FB" w14:paraId="7E18259B" w14:textId="77777777">
      <w:pPr>
        <w:pStyle w:val="Report-Metadata"/>
        <w:rPr>
          <w:b w:val="0"/>
          <w:bCs w:val="0"/>
        </w:rPr>
      </w:pPr>
      <w:r>
        <w:rPr>
          <w:b/>
          <w:i w:val="0"/>
          <w:strike w:val="0"/>
        </w:rPr>
        <w:t>Checklist</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paraId="7F67AA02"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Checklist describing the applicable law for analysis of copyright infringement claims and defenses in the US Court of Appeals for the First Circuit, including case citations. This Checklist identifies the many rules, principles, and standards governing copyright infringement litigation in First Circuit courts, including direct and indirect infringement, the registration requirement, proving ownership and protectability, proving copying (through access and substantial similarity), key defenses like fair use, and remedies (including damages, injunctive</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B1B35D">
      <w:pPr>
        <w:pStyle w:val="Report-Body"/>
      </w:pPr>
      <w:r>
        <w:rPr>
          <w:b/>
          <w:i w:val="0"/>
          <w:strike w:val="0"/>
        </w:rPr>
        <w:t>11</w:t>
      </w:r>
      <w:r w:rsidRPr="00755B14">
        <w:rPr>
          <w:b/>
          <w:bCs/>
        </w:rPr>
        <w:t>.</w:t>
      </w:r>
      <w:r w:rsidRPr="00E5063B">
        <w:t xml:space="preserve"> </w:t>
      </w:r>
      <w:r>
        <w:t xml:space="preserve"> </w:t>
      </w:r>
      <w:hyperlink r:id="rId18" w:history="1">
        <w:r>
          <w:rPr>
            <w:rStyle w:val="Hyperlink"/>
            <w:b/>
            <w:i w:val="0"/>
            <w:strike w:val="0"/>
            <w:color w:val="467886"/>
            <w:u w:val="single"/>
          </w:rPr>
          <w:t>Copyright Litigation: Eighth Circuit Infringement Claims and Defenses Law Checklist</w:t>
        </w:r>
      </w:hyperlink>
    </w:p>
    <w:p w:rsidR="000911FB" w:rsidRPr="00C67A9D" w:rsidP="000911FB" w14:textId="77777777">
      <w:pPr>
        <w:pStyle w:val="Report-Metadata"/>
        <w:rPr>
          <w:b w:val="0"/>
          <w:bCs w:val="0"/>
        </w:rPr>
      </w:pPr>
      <w:r>
        <w:rPr>
          <w:b/>
          <w:i w:val="0"/>
          <w:strike w:val="0"/>
        </w:rPr>
        <w:t>Checklist</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Checklist identifying the governing legal rules, principles, and standards for analyzing copyright infringement claims and defenses in cases governed by the law of the US Court of Appeals for the Eighth Circuit. This Checklist includes citations to the Copyright Act (17 U.S.C. § 101 et seq.) and to relevant decisions by the US Supreme Court, the Eighth Circuit, and district courts within the Eighth Circuit. It outlines the core elements for proving direct, contributory, and vicarious infringement claims, as well as procedural issues like the</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911FB" w14:textId="03B1B35D">
      <w:pPr>
        <w:pStyle w:val="Report-Body"/>
      </w:pPr>
      <w:r>
        <w:rPr>
          <w:b/>
          <w:i w:val="0"/>
          <w:strike w:val="0"/>
        </w:rPr>
        <w:t>12</w:t>
      </w:r>
      <w:r w:rsidRPr="00755B14">
        <w:rPr>
          <w:b/>
          <w:bCs/>
        </w:rPr>
        <w:t>.</w:t>
      </w:r>
      <w:r w:rsidRPr="00E5063B">
        <w:t xml:space="preserve"> </w:t>
      </w:r>
      <w:r>
        <w:t xml:space="preserve"> </w:t>
      </w:r>
      <w:hyperlink r:id="rId19" w:history="1">
        <w:r>
          <w:rPr>
            <w:rStyle w:val="Hyperlink"/>
            <w:b/>
            <w:i w:val="0"/>
            <w:strike w:val="0"/>
            <w:color w:val="467886"/>
            <w:u w:val="single"/>
          </w:rPr>
          <w:t>Copyright Litigation: Tenth Circuit Infringement Claims and Defenses Law Checklist</w:t>
        </w:r>
      </w:hyperlink>
    </w:p>
    <w:p w:rsidR="000911FB" w:rsidRPr="00C67A9D" w:rsidP="000911FB" w14:textId="77777777">
      <w:pPr>
        <w:pStyle w:val="Report-Metadata"/>
        <w:rPr>
          <w:b w:val="0"/>
          <w:bCs w:val="0"/>
        </w:rPr>
      </w:pPr>
      <w:r>
        <w:rPr>
          <w:b/>
          <w:i w:val="0"/>
          <w:strike w:val="0"/>
        </w:rPr>
        <w:t>Checklist</w:t>
      </w:r>
      <w:r w:rsidRPr="00C67A9D">
        <w:rPr>
          <w:b w:val="0"/>
          <w:bCs w:val="0"/>
        </w:rPr>
        <w:t xml:space="preserve">   •   </w:t>
      </w:r>
      <w:r>
        <w:rPr>
          <w:b/>
          <w:i w:val="0"/>
          <w:strike w:val="0"/>
          <w:color w:val="218321"/>
        </w:rPr>
        <w:t>Maintained</w:t>
      </w:r>
      <w:r w:rsidRPr="00C67A9D">
        <w:rPr>
          <w:b w:val="0"/>
          <w:bCs w:val="0"/>
        </w:rPr>
        <w:t xml:space="preserve">   •    </w:t>
      </w:r>
      <w:r>
        <w:rPr>
          <w:b/>
          <w:i w:val="0"/>
          <w:strike w:val="0"/>
        </w:rPr>
        <w:t>National/Federal</w:t>
      </w:r>
    </w:p>
    <w:p w:rsidR="000911FB" w:rsidP="000911FB" w14:textId="77777777">
      <w:pPr>
        <w:pStyle w:val="Report-Body"/>
        <w:rPr>
          <w:b/>
          <w:sz w:val="16"/>
        </w:rPr>
      </w:pPr>
    </w:p>
    <w:tbl>
      <w:tblPr>
        <w:tblStyle w:val="SummaryAndSnippets"/>
        <w:tblW w:w="5000" w:type="pct"/>
      </w:tblPr>
      <w:tblGrid>
        <w:gridCol w:w="9344"/>
      </w:tblGrid>
      <w:tr>
        <w:tblPrEx>
          <w:tblW w:w="5000" w:type="pct"/>
        </w:tblPrEx>
        <w:tc>
          <w:tcPr/>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i w:val="0"/>
                <w:strike w:val="0"/>
                <w:color w:val="1D1D1D"/>
              </w:rPr>
              <w:t>Practical Law resource summary</w:t>
            </w:r>
            <w:r>
              <w:rPr>
                <w:rFonts w:ascii="Arial" w:eastAsia="Times New Roman" w:hAnsi="Arial" w:cs="Arial"/>
                <w:b w:val="0"/>
                <w:i w:val="0"/>
                <w:strike w:val="0"/>
                <w:color w:val="1D1D1D"/>
              </w:rPr>
              <w:br/>
              <w:t>A Checklist describing the applicable law for analysis of copyright infringement claims and defenses in the US Court of Appeals for the Tenth Circuit, including case citations. This Checklist identifies the many legal rules, principles, and standards that Tenth Circuit courts have set out for assessing copyright infringement liability, and is useful for finding legal authority to support cease and desist letters, memoranda, and briefs requiring citation to Tenth Circuit law.</w:t>
            </w:r>
          </w:p>
        </w:tc>
      </w:tr>
    </w:tbl>
    <w:p>
      <w:pPr>
        <w:pStyle w:val="Report-Body"/>
        <w:keepNext w:val="0"/>
        <w:keepLines w:val="0"/>
        <w:pageBreakBefore w:val="0"/>
        <w:widowControl/>
        <w:spacing w:before="0" w:after="0" w:line="240" w:lineRule="auto"/>
        <w:ind w:left="0" w:right="0" w:firstLine="0"/>
        <w:contextualSpacing w:val="0"/>
        <w:jc w:val="left"/>
        <w:outlineLvl w:val="9"/>
        <w:rPr>
          <w:b w:val="0"/>
          <w:i w:val="0"/>
          <w:strike w:val="0"/>
        </w:rPr>
      </w:pPr>
    </w:p>
    <w:p w:rsidR="000911FB" w:rsidP="000F3725" w14:paraId="7E7DF2DC" w14:textId="29C35765">
      <w:pPr>
        <w:pStyle w:val="Report-Body"/>
      </w:pP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eastAsia="Times New Roman" w:hAnsi="Arial" w:cs="Arial"/>
          <w:b w:val="0"/>
          <w:i w:val="0"/>
          <w:strike w:val="0"/>
          <w:color w:val="000000"/>
          <w:sz w:val="36"/>
        </w:rPr>
        <w:t>Research Steps</w:t>
        <w:br/>
      </w:r>
    </w:p>
    <w:p>
      <w:pPr>
        <w:numPr>
          <w:ilvl w:val="0"/>
          <w:numId w:val="34"/>
        </w:numPr>
        <w:rPr>
          <w:b w:val="0"/>
          <w:i w:val="0"/>
          <w:strike w:val="0"/>
        </w:rPr>
      </w:pPr>
      <w:r>
        <w:rPr>
          <w:rFonts w:ascii="Arial" w:eastAsia="Times New Roman" w:hAnsi="Arial" w:cs="Arial"/>
          <w:b w:val="0"/>
          <w:i w:val="0"/>
          <w:strike w:val="0"/>
          <w:color w:val="1D1D1D"/>
        </w:rPr>
        <w:t>Researching the fair use analysis framework under 17 U.S.C. § 107 as applied by the Second Circuit, focusing on the four statutory factors and their application to criticism and commentary.</w:t>
      </w:r>
    </w:p>
    <w:p>
      <w:pPr>
        <w:numPr>
          <w:ilvl w:val="1"/>
          <w:numId w:val="34"/>
        </w:numPr>
        <w:rPr>
          <w:b w:val="0"/>
          <w:i w:val="0"/>
          <w:strike w:val="0"/>
        </w:rPr>
      </w:pPr>
      <w:r>
        <w:rPr>
          <w:rFonts w:ascii="Arial" w:eastAsia="Times New Roman" w:hAnsi="Arial" w:cs="Arial"/>
          <w:b w:val="0"/>
          <w:i w:val="0"/>
          <w:strike w:val="0"/>
          <w:color w:val="1D1D1D"/>
        </w:rPr>
        <w:t>Found 17 USC § 107 framework - four factors: purpose/character, nature of work, amount/substantiality, market effect. Second Circuit applies these factors case-by-case without bright-line rules.</w:t>
      </w:r>
    </w:p>
    <w:p>
      <w:pPr>
        <w:numPr>
          <w:ilvl w:val="0"/>
          <w:numId w:val="34"/>
        </w:numPr>
        <w:rPr>
          <w:b w:val="0"/>
          <w:i w:val="0"/>
          <w:strike w:val="0"/>
        </w:rPr>
      </w:pPr>
      <w:r>
        <w:rPr>
          <w:rFonts w:ascii="Arial" w:eastAsia="Times New Roman" w:hAnsi="Arial" w:cs="Arial"/>
          <w:b w:val="0"/>
          <w:i w:val="0"/>
          <w:strike w:val="0"/>
          <w:color w:val="1D1D1D"/>
        </w:rPr>
        <w:t>Examining Second Circuit precedent on the amount and substantiality factor in fair use cases involving high percentages of verbatim copying for critical commentary purposes.</w:t>
      </w:r>
    </w:p>
    <w:p>
      <w:pPr>
        <w:numPr>
          <w:ilvl w:val="1"/>
          <w:numId w:val="34"/>
        </w:numPr>
        <w:rPr>
          <w:b w:val="0"/>
          <w:i w:val="0"/>
          <w:strike w:val="0"/>
        </w:rPr>
      </w:pPr>
      <w:r>
        <w:rPr>
          <w:rFonts w:ascii="Arial" w:eastAsia="Times New Roman" w:hAnsi="Arial" w:cs="Arial"/>
          <w:b w:val="0"/>
          <w:i w:val="0"/>
          <w:strike w:val="0"/>
          <w:color w:val="1D1D1D"/>
        </w:rPr>
        <w:t>Maxtone-Graham: 2nd Circuit approved 4.3% copying for criticism. Court emphasized no absolute rules - both quantitative and qualitative analysis required. Key: didn't take "heart" of work.</w:t>
      </w:r>
    </w:p>
    <w:p>
      <w:pPr>
        <w:numPr>
          <w:ilvl w:val="0"/>
          <w:numId w:val="34"/>
        </w:numPr>
        <w:rPr>
          <w:b w:val="0"/>
          <w:i w:val="0"/>
          <w:strike w:val="0"/>
        </w:rPr>
      </w:pPr>
      <w:r>
        <w:rPr>
          <w:rFonts w:ascii="Arial" w:eastAsia="Times New Roman" w:hAnsi="Arial" w:cs="Arial"/>
          <w:b w:val="0"/>
          <w:i w:val="0"/>
          <w:strike w:val="0"/>
          <w:color w:val="1D1D1D"/>
        </w:rPr>
        <w:t>Analyzing Second Circuit case law on transformative use doctrine when copying serves to criticize, correct, or comment upon the original work's inaccuracies.</w:t>
      </w:r>
    </w:p>
    <w:p>
      <w:pPr>
        <w:numPr>
          <w:ilvl w:val="1"/>
          <w:numId w:val="34"/>
        </w:numPr>
        <w:rPr>
          <w:b w:val="0"/>
          <w:i w:val="0"/>
          <w:strike w:val="0"/>
        </w:rPr>
      </w:pPr>
      <w:r>
        <w:rPr>
          <w:rFonts w:ascii="Arial" w:eastAsia="Times New Roman" w:hAnsi="Arial" w:cs="Arial"/>
          <w:b w:val="0"/>
          <w:i w:val="0"/>
          <w:strike w:val="0"/>
          <w:color w:val="1D1D1D"/>
        </w:rPr>
        <w:t>Campbell's "conjure up" standard applies beyond parody to criticism/commentary that targets the original work. Requires "critical bearing" on original work itself. Commentary without critical bearing on original receives diminished protection.</w:t>
      </w:r>
    </w:p>
    <w:p>
      <w:pPr>
        <w:numPr>
          <w:ilvl w:val="0"/>
          <w:numId w:val="34"/>
        </w:numPr>
        <w:rPr>
          <w:b w:val="0"/>
          <w:i w:val="0"/>
          <w:strike w:val="0"/>
        </w:rPr>
      </w:pPr>
      <w:r>
        <w:rPr>
          <w:rFonts w:ascii="Arial" w:eastAsia="Times New Roman" w:hAnsi="Arial" w:cs="Arial"/>
          <w:b w:val="0"/>
          <w:i w:val="0"/>
          <w:strike w:val="0"/>
          <w:color w:val="1D1D1D"/>
        </w:rPr>
        <w:t>Investigating Second Circuit holdings on the purpose and character factor under fair use when defendants copy substantial portions specifically to identify and correct errors in the original work.</w:t>
      </w:r>
    </w:p>
    <w:p>
      <w:pPr>
        <w:numPr>
          <w:ilvl w:val="1"/>
          <w:numId w:val="34"/>
        </w:numPr>
        <w:rPr>
          <w:b w:val="0"/>
          <w:i w:val="0"/>
          <w:strike w:val="0"/>
        </w:rPr>
      </w:pPr>
      <w:r>
        <w:rPr>
          <w:rFonts w:ascii="Arial" w:eastAsia="Times New Roman" w:hAnsi="Arial" w:cs="Arial"/>
          <w:b w:val="0"/>
          <w:i w:val="0"/>
          <w:strike w:val="0"/>
          <w:color w:val="1D1D1D"/>
        </w:rPr>
        <w:t>Found extensive Second Circuit case law on "fragmented literal similarity" test for substantial copying. Key cases: TufAmerica, May v. Sony, Penguin Random House. Courts apply quantitative AND qualitative analysis - copying must be both sufficient in amount and qualitatively significant to original work. Strong presumption favors criticism/comment under factor one.</w:t>
        <w:br/>
      </w:r>
    </w:p>
    <w:p w:rsidR="00266DD2" w:rsidP="00266DD2" w14:paraId="7D0BA273" w14:textId="0D6FC439">
      <w:pPr>
        <w:pStyle w:val="Report-Body"/>
        <w:rPr>
          <w:rFonts w:asciiTheme="minorHAnsi" w:eastAsiaTheme="minorHAnsi" w:hAnsiTheme="minorHAnsi" w:cstheme="minorBidi"/>
          <w:color w:val="auto"/>
          <w:kern w:val="2"/>
          <w:szCs w:val="24"/>
          <w14:ligatures w14:val="standardContextual"/>
        </w:rPr>
      </w:pPr>
      <w:r>
        <w:br/>
      </w:r>
      <w:r>
        <w:rPr>
          <w:noProof/>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244475</wp:posOffset>
                </wp:positionV>
                <wp:extent cx="5905500" cy="0"/>
                <wp:effectExtent l="0" t="12700" r="12700" b="12700"/>
                <wp:wrapNone/>
                <wp:docPr id="708621368"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590550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38" style="mso-wrap-distance-bottom:0;mso-wrap-distance-left:9pt;mso-wrap-distance-right:9pt;mso-wrap-distance-top:0;mso-wrap-style:square;position:absolute;visibility:visible;z-index:251663360" from="0,19.25pt" to="465pt,19.25pt" strokecolor="black" strokeweight="1.5pt">
                <v:stroke joinstyle="miter"/>
              </v:line>
            </w:pict>
          </mc:Fallback>
        </mc:AlternateContent>
      </w:r>
    </w:p>
    <w:p>
      <w:pPr>
        <w:pStyle w:val="Report-Heading"/>
        <w:keepNext w:val="0"/>
        <w:keepLines w:val="0"/>
        <w:pageBreakBefore w:val="0"/>
        <w:widowControl/>
        <w:spacing w:before="0" w:after="0" w:line="240" w:lineRule="auto"/>
        <w:ind w:left="0" w:right="0" w:firstLine="0"/>
        <w:contextualSpacing w:val="0"/>
        <w:jc w:val="left"/>
        <w:outlineLvl w:val="9"/>
        <w:rPr>
          <w:b w:val="0"/>
          <w:i w:val="0"/>
          <w:strike w:val="0"/>
        </w:rPr>
      </w:pPr>
      <w:r>
        <w:rPr>
          <w:rFonts w:ascii="Arial" w:hAnsi="Arial" w:cs="Arial"/>
          <w:b w:val="0"/>
          <w:i w:val="0"/>
          <w:strike w:val="0"/>
          <w:color w:val="000000"/>
          <w:sz w:val="36"/>
        </w:rPr>
        <w:t>Questions for further research</w:t>
        <w:br/>
      </w:r>
    </w:p>
    <w:p>
      <w:pPr>
        <w:numPr>
          <w:ilvl w:val="0"/>
          <w:numId w:val="33"/>
        </w:numPr>
        <w:rPr>
          <w:b w:val="0"/>
          <w:i w:val="0"/>
          <w:strike w:val="0"/>
        </w:rPr>
      </w:pPr>
      <w:r>
        <w:rPr>
          <w:rFonts w:ascii="Arial" w:hAnsi="Arial" w:cs="Arial"/>
          <w:b/>
          <w:i w:val="0"/>
          <w:strike w:val="0"/>
          <w:color w:val="1D1D1D"/>
        </w:rPr>
        <w:t>What is the total length of the original work from which the 7 of 8 lines were copied?</w:t>
      </w:r>
    </w:p>
    <w:p>
      <w:pPr>
        <w:numPr>
          <w:ilvl w:val="0"/>
          <w:numId w:val="33"/>
        </w:numPr>
        <w:rPr>
          <w:b w:val="0"/>
          <w:i w:val="0"/>
          <w:strike w:val="0"/>
        </w:rPr>
      </w:pPr>
      <w:r>
        <w:rPr>
          <w:rFonts w:ascii="Arial" w:hAnsi="Arial" w:cs="Arial"/>
          <w:b/>
          <w:i w:val="0"/>
          <w:strike w:val="0"/>
          <w:color w:val="1D1D1D"/>
        </w:rPr>
        <w:t>What specific inaccuracies or errors in those particular 7 lines are you seeking to criticize and correct?</w:t>
      </w:r>
    </w:p>
    <w:p>
      <w:pPr>
        <w:numPr>
          <w:ilvl w:val="0"/>
          <w:numId w:val="33"/>
        </w:numPr>
        <w:rPr>
          <w:b w:val="0"/>
          <w:i w:val="0"/>
          <w:strike w:val="0"/>
        </w:rPr>
      </w:pPr>
      <w:r>
        <w:rPr>
          <w:rFonts w:ascii="Arial" w:hAnsi="Arial" w:cs="Arial"/>
          <w:b/>
          <w:i w:val="0"/>
          <w:strike w:val="0"/>
          <w:color w:val="1D1D1D"/>
        </w:rPr>
        <w:t>Does your criticism target the substance or style of the original 8-line passage itself, or do you use these lines to comment on broader topics?</w:t>
      </w:r>
    </w:p>
    <w:p>
      <w:pPr>
        <w:numPr>
          <w:ilvl w:val="0"/>
          <w:numId w:val="33"/>
        </w:numPr>
        <w:rPr>
          <w:b w:val="0"/>
          <w:i w:val="0"/>
          <w:strike w:val="0"/>
        </w:rPr>
      </w:pPr>
      <w:r>
        <w:rPr>
          <w:rFonts w:ascii="Arial" w:hAnsi="Arial" w:cs="Arial"/>
          <w:b/>
          <w:i w:val="0"/>
          <w:strike w:val="0"/>
          <w:color w:val="1D1D1D"/>
        </w:rPr>
        <w:t>Will your work include substantial original analysis and commentary beyond the copied material?</w:t>
      </w:r>
    </w:p>
    <w:p>
      <w:pPr>
        <w:numPr>
          <w:ilvl w:val="0"/>
          <w:numId w:val="33"/>
        </w:numPr>
        <w:rPr>
          <w:b w:val="0"/>
          <w:i w:val="0"/>
          <w:strike w:val="0"/>
        </w:rPr>
      </w:pPr>
      <w:r>
        <w:rPr>
          <w:rFonts w:ascii="Arial" w:hAnsi="Arial" w:cs="Arial"/>
          <w:b/>
          <w:i w:val="0"/>
          <w:strike w:val="0"/>
          <w:color w:val="1D1D1D"/>
        </w:rPr>
        <w:t>What is the nature of the original work (academic paper, creative writing, journalism, etc.)?</w:t>
      </w:r>
      <w:r>
        <w:rPr>
          <w:rFonts w:ascii="Arial" w:hAnsi="Arial" w:cs="Arial"/>
          <w:b w:val="0"/>
          <w:i w:val="0"/>
          <w:strike w:val="0"/>
          <w:color w:val="1D1D1D"/>
        </w:rPr>
        <w:br/>
        <w:br/>
      </w:r>
    </w:p>
    <w:p w:rsidR="00266DD2" w:rsidP="00266DD2" w14:paraId="1EC8BF0B" w14:textId="77777777">
      <w:pPr>
        <w:pStyle w:val="Report-Body"/>
        <w:rPr>
          <w:rFonts w:eastAsiaTheme="minorHAnsi"/>
        </w:rPr>
      </w:pPr>
      <w:r w:rsidRPr="007A4513">
        <w:rPr>
          <w:rFonts w:eastAsiaTheme="minorHAnsi"/>
        </w:rPr>
        <w:t xml:space="preserve"> </w:t>
      </w:r>
    </w:p>
    <w:p w:rsidR="00F3378D" w:rsidRPr="000E6B43" w:rsidP="00CD7BBC" w14:paraId="7B361FDD" w14:textId="1EF80FA4">
      <w:pPr>
        <w:pStyle w:val="Report-Body"/>
      </w:pPr>
    </w:p>
    <w:p w:rsidR="007E5AC0" w:rsidRPr="00A610D3" w:rsidP="00A610D3" w14:paraId="77A3323A" w14:textId="77777777"/>
    <w:sectPr w:rsidSect="00B62FF8">
      <w:headerReference w:type="default" r:id="rId20"/>
      <w:footerReference w:type="even" r:id="rId21"/>
      <w:footerReference w:type="default" r:id="rId22"/>
      <w:pgSz w:w="12240" w:h="15840"/>
      <w:pgMar w:top="1440" w:right="1440" w:bottom="1440" w:left="1440" w:header="737"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P="0071770E" w14:paraId="71617488"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71770E" w:rsidRPr="00CA3A86" w:rsidP="00266D65" w14:paraId="0BA2D906" w14:textId="77501D8E">
    <w:pPr>
      <w:pStyle w:val="Footer"/>
      <w:rPr>
        <w:rStyle w:val="PageNumber"/>
        <w:rFonts w:ascii="Arial" w:hAnsi="Arial" w:cs="Arial"/>
        <w:sz w:val="18"/>
        <w:szCs w:val="18"/>
      </w:rPr>
    </w:pPr>
  </w:p>
  <w:p w:rsidR="00266D65" w:rsidRPr="00CA3A86" w:rsidP="004A573A" w14:paraId="76D473BF" w14:textId="56E8A3DF">
    <w:pPr>
      <w:pStyle w:val="Footer"/>
      <w:rPr>
        <w:rStyle w:val="PageNumber"/>
        <w:rFonts w:ascii="Arial" w:hAnsi="Arial" w:cs="Arial"/>
        <w:sz w:val="18"/>
        <w:szCs w:val="18"/>
      </w:rPr>
    </w:pPr>
    <w:r w:rsidRPr="00CA3A86">
      <w:rPr>
        <w:rFonts w:ascii="Arial" w:hAnsi="Arial" w:cs="Arial"/>
        <w:noProof/>
        <w:sz w:val="18"/>
        <w:szCs w:val="18"/>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-92710</wp:posOffset>
              </wp:positionV>
              <wp:extent cx="5933440" cy="2918"/>
              <wp:effectExtent l="0" t="12700" r="22860" b="22860"/>
              <wp:wrapNone/>
              <wp:docPr id="209175415" name="Straight Connector 23"/>
              <wp:cNvGraphicFramePr/>
              <a:graphic xmlns:a="http://schemas.openxmlformats.org/drawingml/2006/main">
                <a:graphicData uri="http://schemas.microsoft.com/office/word/2010/wordprocessingShape">
                  <wps:wsp xmlns:wps="http://schemas.microsoft.com/office/word/2010/wordprocessingShape">
                    <wps:cNvCnPr/>
                    <wps:spPr>
                      <a:xfrm flipV="1">
                        <a:off x="0" y="0"/>
                        <a:ext cx="5933440" cy="2918"/>
                      </a:xfrm>
                      <a:prstGeom prst="line">
                        <a:avLst/>
                      </a:prstGeom>
                      <a:ln>
                        <a:solidFill>
                          <a:schemeClr val="bg2">
                            <a:lumMod val="50000"/>
                          </a:schemeClr>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3" o:spid="_x0000_s2049" style="flip:y;mso-height-percent:0;mso-height-relative:margin;mso-width-percent:0;mso-width-relative:margin;mso-wrap-distance-bottom:0;mso-wrap-distance-left:9pt;mso-wrap-distance-right:9pt;mso-wrap-distance-top:0;mso-wrap-style:square;position:absolute;visibility:visible;z-index:251659264" from="0,-7.3pt" to="467.2pt,-7.05pt" strokecolor="#737373" strokeweight="1.5pt">
              <v:stroke joinstyle="miter"/>
            </v:line>
          </w:pict>
        </mc:Fallback>
      </mc:AlternateContent>
    </w:r>
    <w:r w:rsidRPr="00CA3A86" w:rsidR="002233E3">
      <w:rPr>
        <w:rFonts w:ascii="Arial" w:hAnsi="Arial" w:cs="Arial"/>
        <w:sz w:val="18"/>
        <w:szCs w:val="18"/>
      </w:rPr>
      <w:t xml:space="preserve"> </w:t>
    </w:r>
    <w:r>
      <w:rPr>
        <w:rFonts w:ascii="Arial" w:hAnsi="Arial" w:cs="Arial"/>
        <w:b w:val="0"/>
        <w:i w:val="0"/>
        <w:strike w:val="0"/>
        <w:sz w:val="18"/>
      </w:rPr>
      <w:t>Westlaw Advantage</w:t>
    </w:r>
    <w:r w:rsidRPr="00CA3A86" w:rsidR="002233E3">
      <w:rPr>
        <w:rFonts w:ascii="Arial" w:hAnsi="Arial" w:cs="Arial"/>
        <w:sz w:val="18"/>
        <w:szCs w:val="18"/>
      </w:rPr>
      <w:t xml:space="preserve">. © </w:t>
    </w:r>
    <w:r>
      <w:rPr>
        <w:rFonts w:ascii="Arial" w:hAnsi="Arial" w:cs="Arial"/>
        <w:b w:val="0"/>
        <w:i w:val="0"/>
        <w:strike w:val="0"/>
        <w:sz w:val="18"/>
      </w:rPr>
      <w:t>2026</w:t>
    </w:r>
    <w:r w:rsidRPr="00CA3A86" w:rsidR="002233E3">
      <w:rPr>
        <w:rFonts w:ascii="Arial" w:hAnsi="Arial" w:cs="Arial"/>
        <w:sz w:val="18"/>
        <w:szCs w:val="18"/>
      </w:rPr>
      <w:t xml:space="preserve"> Thomson Reuters. No claim to original U.S. Government Works.</w:t>
    </w:r>
    <w:r w:rsidR="004A573A">
      <w:rPr>
        <w:rFonts w:ascii="Arial" w:hAnsi="Arial" w:cs="Arial"/>
        <w:sz w:val="18"/>
        <w:szCs w:val="18"/>
      </w:rPr>
      <w:tab/>
    </w:r>
    <w:r w:rsidRPr="004A573A" w:rsidR="004A573A">
      <w:rPr>
        <w:rFonts w:ascii="Arial" w:hAnsi="Arial" w:cs="Arial"/>
        <w:sz w:val="18"/>
        <w:szCs w:val="18"/>
      </w:rPr>
      <w:fldChar w:fldCharType="begin"/>
    </w:r>
    <w:r w:rsidRPr="004A573A" w:rsidR="004A573A">
      <w:rPr>
        <w:rFonts w:ascii="Arial" w:hAnsi="Arial" w:cs="Arial"/>
        <w:sz w:val="18"/>
        <w:szCs w:val="18"/>
      </w:rPr>
      <w:instrText xml:space="preserve"> PAGE   \* MERGEFORMAT </w:instrText>
    </w:r>
    <w:r w:rsidRPr="004A573A" w:rsidR="004A573A">
      <w:rPr>
        <w:rFonts w:ascii="Arial" w:hAnsi="Arial" w:cs="Arial"/>
        <w:sz w:val="18"/>
        <w:szCs w:val="18"/>
      </w:rPr>
      <w:fldChar w:fldCharType="separate"/>
    </w:r>
    <w:r w:rsidRPr="004A573A" w:rsidR="004A573A">
      <w:rPr>
        <w:rFonts w:ascii="Arial" w:hAnsi="Arial" w:cs="Arial"/>
        <w:noProof/>
        <w:sz w:val="18"/>
        <w:szCs w:val="18"/>
      </w:rPr>
      <w:t>12</w:t>
    </w:r>
    <w:r w:rsidRPr="004A573A" w:rsidR="004A573A">
      <w:rPr>
        <w:rFonts w:ascii="Arial" w:hAnsi="Arial" w:cs="Arial"/>
        <w:noProof/>
        <w:sz w:val="18"/>
        <w:szCs w:val="18"/>
      </w:rPr>
      <w:fldChar w:fldCharType="end"/>
    </w:r>
  </w:p>
  <w:p w:rsidR="00FB3768" w:rsidRPr="00CA3A86" w:rsidP="00266D65" w14:paraId="6F178050" w14:textId="4F694DA3">
    <w:pPr>
      <w:pStyle w:val="Footer"/>
      <w:rPr>
        <w:rFonts w:ascii="Arial" w:hAnsi="Arial" w:cs="Arial"/>
        <w:sz w:val="18"/>
        <w:szCs w:val="18"/>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FB3768" w:rsidRPr="00CA3A86" w:rsidP="00266D65" w14:paraId="468BA717" w14:textId="1009282B">
    <w:pPr>
      <w:pStyle w:val="Header"/>
      <w:rPr>
        <w:rFonts w:ascii="Arial" w:hAnsi="Arial" w:cs="Arial"/>
        <w:sz w:val="18"/>
        <w:szCs w:val="18"/>
      </w:rPr>
    </w:pPr>
    <w:r>
      <w:rPr>
        <w:rFonts w:ascii="Arial" w:hAnsi="Arial" w:cs="Arial"/>
        <w:b/>
        <w:i w:val="0"/>
        <w:strike w:val="0"/>
        <w:sz w:val="18"/>
      </w:rPr>
      <w:t>Westlaw AI Deep Research</w:t>
    </w:r>
    <w:r w:rsidRPr="00CA3A86" w:rsidR="00266D65">
      <w:rPr>
        <w:rFonts w:ascii="Arial" w:hAnsi="Arial" w:cs="Arial"/>
        <w:sz w:val="18"/>
        <w:szCs w:val="18"/>
      </w:rPr>
      <w:t xml:space="preserve">   •   Response generated: </w:t>
    </w:r>
    <w:r>
      <w:rPr>
        <w:rFonts w:ascii="Arial" w:hAnsi="Arial" w:cs="Arial"/>
        <w:b w:val="0"/>
        <w:i w:val="0"/>
        <w:strike w:val="0"/>
        <w:sz w:val="18"/>
      </w:rPr>
      <w:t>February 4, 2026</w:t>
    </w:r>
    <w:r w:rsidRPr="00CA3A86" w:rsidR="00266D65">
      <w:rPr>
        <w:rFonts w:ascii="Arial" w:hAnsi="Arial" w:cs="Arial"/>
        <w:sz w:val="18"/>
        <w:szCs w:val="18"/>
      </w:rPr>
      <w:t xml:space="preserve"> at </w:t>
    </w:r>
    <w:r>
      <w:rPr>
        <w:rFonts w:ascii="Arial" w:hAnsi="Arial" w:cs="Arial"/>
        <w:b w:val="0"/>
        <w:i w:val="0"/>
        <w:strike w:val="0"/>
        <w:sz w:val="18"/>
      </w:rPr>
      <w:t>12:34 a.m. UTC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000001"/>
    <w:multiLevelType w:val="hybridMultilevel"/>
    <w:tmpl w:val="00000001"/>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4457E2A"/>
    <w:multiLevelType w:val="multilevel"/>
    <w:tmpl w:val="E6722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6755EC0"/>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06CD0400"/>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06FC1E9C"/>
    <w:multiLevelType w:val="multilevel"/>
    <w:tmpl w:val="F392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B0739E5"/>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1538483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1A94677A"/>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1B81534D"/>
    <w:multiLevelType w:val="hybridMultilevel"/>
    <w:tmpl w:val="0D8060D0"/>
    <w:lvl w:ilvl="0">
      <w:start w:val="1"/>
      <w:numFmt w:val="bullet"/>
      <w:lvlText w:val="ü"/>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9">
    <w:nsid w:val="27F06589"/>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2EA47815"/>
    <w:multiLevelType w:val="hybridMultilevel"/>
    <w:tmpl w:val="5DAE70DC"/>
    <w:lvl w:ilvl="0">
      <w:start w:val="3"/>
      <w:numFmt w:val="bullet"/>
      <w:lvlText w:val="-"/>
      <w:lvlJc w:val="left"/>
      <w:pPr>
        <w:ind w:left="720" w:hanging="360"/>
      </w:pPr>
      <w:rPr>
        <w:rFonts w:ascii="Arial" w:eastAsia="Times New Roman" w:hAnsi="Arial" w:cs="Aria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1">
    <w:nsid w:val="39424FA7"/>
    <w:multiLevelType w:val="hybridMultilevel"/>
    <w:tmpl w:val="658645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AF80D86"/>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3CA00D8C"/>
    <w:multiLevelType w:val="multilevel"/>
    <w:tmpl w:val="D516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1867403"/>
    <w:multiLevelType w:val="hybridMultilevel"/>
    <w:tmpl w:val="A5182E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hint="default"/>
      </w:rPr>
    </w:lvl>
    <w:lvl w:ilvl="8" w:tentative="1">
      <w:start w:val="1"/>
      <w:numFmt w:val="bullet"/>
      <w:lvlText w:val=""/>
      <w:lvlJc w:val="left"/>
      <w:pPr>
        <w:ind w:left="6480" w:hanging="360"/>
      </w:pPr>
      <w:rPr>
        <w:rFonts w:ascii="Wingdings" w:hAnsi="Wingdings" w:hint="default"/>
      </w:rPr>
    </w:lvl>
  </w:abstractNum>
  <w:abstractNum w:abstractNumId="15">
    <w:nsid w:val="4CA0583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4F374317"/>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51BE2E9D"/>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8">
    <w:nsid w:val="546622C0"/>
    <w:multiLevelType w:val="multilevel"/>
    <w:tmpl w:val="9D22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548A7882"/>
    <w:multiLevelType w:val="hybridMultilevel"/>
    <w:tmpl w:val="EBF22920"/>
    <w:lvl w:ilvl="0">
      <w:start w:val="1"/>
      <w:numFmt w:val="decimal"/>
      <w:lvlText w:val="%1."/>
      <w:lvlJc w:val="left"/>
      <w:pPr>
        <w:ind w:left="720" w:hanging="360"/>
      </w:pPr>
      <w:rPr>
        <w:rFonts w:hint="default"/>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5496378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56A954C8"/>
    <w:multiLevelType w:val="hybridMultilevel"/>
    <w:tmpl w:val="D82A718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57B21FE2"/>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3">
    <w:nsid w:val="59FE2C15"/>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4">
    <w:nsid w:val="633C3930"/>
    <w:multiLevelType w:val="hybridMultilevel"/>
    <w:tmpl w:val="7BF4ABD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nsid w:val="67F571E3"/>
    <w:multiLevelType w:val="multilevel"/>
    <w:tmpl w:val="6EDC73E6"/>
    <w:numStyleLink w:val="ResearchSteps"/>
  </w:abstractNum>
  <w:abstractNum w:abstractNumId="26">
    <w:nsid w:val="68C7770E"/>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7">
    <w:nsid w:val="6B224267"/>
    <w:multiLevelType w:val="multilevel"/>
    <w:tmpl w:val="6EDC73E6"/>
    <w:styleLink w:val="ResearchSteps"/>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color w:val="auto"/>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8">
    <w:nsid w:val="6B2B218C"/>
    <w:multiLevelType w:val="hybridMultilevel"/>
    <w:tmpl w:val="D6AC1E7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9">
    <w:nsid w:val="73A12D01"/>
    <w:multiLevelType w:val="multilevel"/>
    <w:tmpl w:val="904C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79BF6B44"/>
    <w:multiLevelType w:val="hybridMultilevel"/>
    <w:tmpl w:val="343AF9DC"/>
    <w:lvl w:ilvl="0">
      <w:start w:val="1"/>
      <w:numFmt w:val="decimal"/>
      <w:lvlText w:val="%1."/>
      <w:lvlJc w:val="left"/>
      <w:pPr>
        <w:ind w:left="720" w:hanging="360"/>
      </w:pPr>
      <w:rPr>
        <w:rFonts w:hint="default"/>
        <w:b/>
        <w:bCs/>
        <w:color w:val="3D3D3D"/>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1">
    <w:nsid w:val="7C5654B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7C5654BB"/>
    <w:multiLevelType w:val="multilevel"/>
    <w:tmpl w:val="7C5654B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7C5654BC"/>
    <w:multiLevelType w:val="hybridMultilevel"/>
    <w:tmpl w:val="7C5654BC"/>
    <w:lvl w:ilvl="0">
      <w:start w:val="1"/>
      <w:numFmt w:val="bullet"/>
      <w:lvlText w:val="✓"/>
      <w:lvlJc w:val="left"/>
      <w:pPr>
        <w:tabs>
          <w:tab w:val="num" w:pos="720"/>
        </w:tabs>
        <w:ind w:left="720" w:hanging="360"/>
      </w:pPr>
      <w:rPr>
        <w:rFonts w:ascii="Segoe UI Symbol" w:eastAsia="Segoe UI Symbol" w:hAnsi="Segoe UI Symbol" w:cs="Segoe UI Symbol"/>
      </w:rPr>
    </w:lvl>
    <w:lvl w:ilvl="1">
      <w:start w:val="1"/>
      <w:numFmt w:val="bullet"/>
      <w:lvlText w:val="o"/>
      <w:lvlJc w:val="left"/>
      <w:pPr>
        <w:tabs>
          <w:tab w:val="num" w:pos="1440"/>
        </w:tabs>
        <w:ind w:left="1440" w:hanging="360"/>
      </w:pPr>
      <w:rPr>
        <w:rFonts w:ascii="Symbol" w:eastAsia="Symbol" w:hAnsi="Symbol" w:cs="Symbol"/>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77177892">
    <w:abstractNumId w:val="24"/>
  </w:num>
  <w:num w:numId="2" w16cid:durableId="882862179">
    <w:abstractNumId w:val="28"/>
  </w:num>
  <w:num w:numId="3" w16cid:durableId="1125149909">
    <w:abstractNumId w:val="1"/>
  </w:num>
  <w:num w:numId="4" w16cid:durableId="979194767">
    <w:abstractNumId w:val="21"/>
  </w:num>
  <w:num w:numId="5" w16cid:durableId="1135949211">
    <w:abstractNumId w:val="10"/>
  </w:num>
  <w:num w:numId="6" w16cid:durableId="987049796">
    <w:abstractNumId w:val="29"/>
  </w:num>
  <w:num w:numId="7" w16cid:durableId="2099935921">
    <w:abstractNumId w:val="4"/>
  </w:num>
  <w:num w:numId="8" w16cid:durableId="1390878430">
    <w:abstractNumId w:val="13"/>
  </w:num>
  <w:num w:numId="9" w16cid:durableId="165680804">
    <w:abstractNumId w:val="18"/>
  </w:num>
  <w:num w:numId="10" w16cid:durableId="1445539250">
    <w:abstractNumId w:val="26"/>
  </w:num>
  <w:num w:numId="11" w16cid:durableId="18943456">
    <w:abstractNumId w:val="12"/>
  </w:num>
  <w:num w:numId="12" w16cid:durableId="1446853127">
    <w:abstractNumId w:val="5"/>
  </w:num>
  <w:num w:numId="13" w16cid:durableId="452557828">
    <w:abstractNumId w:val="3"/>
  </w:num>
  <w:num w:numId="14" w16cid:durableId="222717049">
    <w:abstractNumId w:val="16"/>
  </w:num>
  <w:num w:numId="15" w16cid:durableId="1727685844">
    <w:abstractNumId w:val="19"/>
  </w:num>
  <w:num w:numId="16" w16cid:durableId="163128153">
    <w:abstractNumId w:val="7"/>
  </w:num>
  <w:num w:numId="17" w16cid:durableId="1113554303">
    <w:abstractNumId w:val="2"/>
  </w:num>
  <w:num w:numId="18" w16cid:durableId="1326473564">
    <w:abstractNumId w:val="23"/>
  </w:num>
  <w:num w:numId="19" w16cid:durableId="1981617171">
    <w:abstractNumId w:val="17"/>
  </w:num>
  <w:num w:numId="20" w16cid:durableId="74523104">
    <w:abstractNumId w:val="9"/>
  </w:num>
  <w:num w:numId="21" w16cid:durableId="1700811561">
    <w:abstractNumId w:val="6"/>
  </w:num>
  <w:num w:numId="22" w16cid:durableId="143855414">
    <w:abstractNumId w:val="15"/>
  </w:num>
  <w:num w:numId="23" w16cid:durableId="1498886866">
    <w:abstractNumId w:val="14"/>
  </w:num>
  <w:num w:numId="24" w16cid:durableId="1664772259">
    <w:abstractNumId w:val="30"/>
  </w:num>
  <w:num w:numId="25" w16cid:durableId="2100127906">
    <w:abstractNumId w:val="20"/>
  </w:num>
  <w:num w:numId="26" w16cid:durableId="1657878376">
    <w:abstractNumId w:val="22"/>
  </w:num>
  <w:num w:numId="27" w16cid:durableId="2117557087">
    <w:abstractNumId w:val="8"/>
  </w:num>
  <w:num w:numId="28" w16cid:durableId="69548974">
    <w:abstractNumId w:val="11"/>
  </w:num>
  <w:num w:numId="29" w16cid:durableId="875699361">
    <w:abstractNumId w:val="27"/>
  </w:num>
  <w:num w:numId="30" w16cid:durableId="129247603">
    <w:abstractNumId w:val="25"/>
  </w:num>
  <w:num w:numId="31" w16cid:durableId="935821104">
    <w:abstractNumId w:val="31"/>
  </w:num>
  <w:num w:numId="32">
    <w:abstractNumId w:val="0"/>
  </w:num>
  <w:num w:numId="33">
    <w:abstractNumId w:val="32"/>
  </w:num>
  <w:num w:numId="3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B00"/>
    <w:rsid w:val="00002537"/>
    <w:rsid w:val="000070A9"/>
    <w:rsid w:val="00011EB0"/>
    <w:rsid w:val="00020FD1"/>
    <w:rsid w:val="0003200D"/>
    <w:rsid w:val="00032904"/>
    <w:rsid w:val="000513CE"/>
    <w:rsid w:val="00054AE9"/>
    <w:rsid w:val="00075FC5"/>
    <w:rsid w:val="000853EB"/>
    <w:rsid w:val="000911FB"/>
    <w:rsid w:val="000970CD"/>
    <w:rsid w:val="000A169D"/>
    <w:rsid w:val="000A62DD"/>
    <w:rsid w:val="000B21FD"/>
    <w:rsid w:val="000B25DA"/>
    <w:rsid w:val="000C1760"/>
    <w:rsid w:val="000C4CC4"/>
    <w:rsid w:val="000C6E54"/>
    <w:rsid w:val="000D328E"/>
    <w:rsid w:val="000E1AFB"/>
    <w:rsid w:val="000E4BB0"/>
    <w:rsid w:val="000E6B43"/>
    <w:rsid w:val="000E75C6"/>
    <w:rsid w:val="000F118B"/>
    <w:rsid w:val="000F3725"/>
    <w:rsid w:val="000F5454"/>
    <w:rsid w:val="000F6139"/>
    <w:rsid w:val="001075B4"/>
    <w:rsid w:val="00112DD4"/>
    <w:rsid w:val="001234D5"/>
    <w:rsid w:val="00126860"/>
    <w:rsid w:val="0013440D"/>
    <w:rsid w:val="00145CEA"/>
    <w:rsid w:val="00153A96"/>
    <w:rsid w:val="00156E45"/>
    <w:rsid w:val="00163EF0"/>
    <w:rsid w:val="0017070C"/>
    <w:rsid w:val="00173CCD"/>
    <w:rsid w:val="001769B3"/>
    <w:rsid w:val="00176FD6"/>
    <w:rsid w:val="001947AC"/>
    <w:rsid w:val="00194FAC"/>
    <w:rsid w:val="0019606A"/>
    <w:rsid w:val="001B47B6"/>
    <w:rsid w:val="001B4E7F"/>
    <w:rsid w:val="001B6E29"/>
    <w:rsid w:val="001C2E92"/>
    <w:rsid w:val="001C78E3"/>
    <w:rsid w:val="001D4275"/>
    <w:rsid w:val="001E1C60"/>
    <w:rsid w:val="001F75F3"/>
    <w:rsid w:val="00201287"/>
    <w:rsid w:val="00214220"/>
    <w:rsid w:val="002233E3"/>
    <w:rsid w:val="0023187D"/>
    <w:rsid w:val="00233591"/>
    <w:rsid w:val="0024315F"/>
    <w:rsid w:val="0024664F"/>
    <w:rsid w:val="00246C76"/>
    <w:rsid w:val="00251AC1"/>
    <w:rsid w:val="002534E6"/>
    <w:rsid w:val="00266D65"/>
    <w:rsid w:val="00266DD2"/>
    <w:rsid w:val="002670BD"/>
    <w:rsid w:val="0029350B"/>
    <w:rsid w:val="002A5285"/>
    <w:rsid w:val="002A766F"/>
    <w:rsid w:val="002C0255"/>
    <w:rsid w:val="002C7F2B"/>
    <w:rsid w:val="002D3F75"/>
    <w:rsid w:val="002D7F22"/>
    <w:rsid w:val="002E1212"/>
    <w:rsid w:val="002E4A9D"/>
    <w:rsid w:val="00301D69"/>
    <w:rsid w:val="00317081"/>
    <w:rsid w:val="00320DBE"/>
    <w:rsid w:val="00321BFC"/>
    <w:rsid w:val="003359E4"/>
    <w:rsid w:val="003436F8"/>
    <w:rsid w:val="00354317"/>
    <w:rsid w:val="00371915"/>
    <w:rsid w:val="00371BA2"/>
    <w:rsid w:val="00372153"/>
    <w:rsid w:val="00396112"/>
    <w:rsid w:val="003A7A8B"/>
    <w:rsid w:val="003B2CBE"/>
    <w:rsid w:val="003B358F"/>
    <w:rsid w:val="003B55C8"/>
    <w:rsid w:val="003B7B49"/>
    <w:rsid w:val="003C097A"/>
    <w:rsid w:val="003D1130"/>
    <w:rsid w:val="003E2334"/>
    <w:rsid w:val="003E4AE8"/>
    <w:rsid w:val="00401DC8"/>
    <w:rsid w:val="00402EC7"/>
    <w:rsid w:val="0040472B"/>
    <w:rsid w:val="004134E9"/>
    <w:rsid w:val="00414E6F"/>
    <w:rsid w:val="00417ED9"/>
    <w:rsid w:val="00425CE9"/>
    <w:rsid w:val="0045055B"/>
    <w:rsid w:val="004520E7"/>
    <w:rsid w:val="00455FEB"/>
    <w:rsid w:val="00461E05"/>
    <w:rsid w:val="00465A85"/>
    <w:rsid w:val="00477459"/>
    <w:rsid w:val="00481DDD"/>
    <w:rsid w:val="00486837"/>
    <w:rsid w:val="00490A5F"/>
    <w:rsid w:val="00495A96"/>
    <w:rsid w:val="004A32B0"/>
    <w:rsid w:val="004A573A"/>
    <w:rsid w:val="004C4F25"/>
    <w:rsid w:val="004C766E"/>
    <w:rsid w:val="004D7C28"/>
    <w:rsid w:val="004F1C3B"/>
    <w:rsid w:val="00505C4B"/>
    <w:rsid w:val="00510591"/>
    <w:rsid w:val="00516B3F"/>
    <w:rsid w:val="00520D11"/>
    <w:rsid w:val="00522045"/>
    <w:rsid w:val="00522D43"/>
    <w:rsid w:val="005305F0"/>
    <w:rsid w:val="0053299B"/>
    <w:rsid w:val="00550EC5"/>
    <w:rsid w:val="0056376F"/>
    <w:rsid w:val="00566A4A"/>
    <w:rsid w:val="00566AEF"/>
    <w:rsid w:val="005A7107"/>
    <w:rsid w:val="005A7294"/>
    <w:rsid w:val="005B55F6"/>
    <w:rsid w:val="005C2054"/>
    <w:rsid w:val="005E0E32"/>
    <w:rsid w:val="005E1943"/>
    <w:rsid w:val="005E336A"/>
    <w:rsid w:val="005F0D8F"/>
    <w:rsid w:val="005F433F"/>
    <w:rsid w:val="005F4583"/>
    <w:rsid w:val="005F680A"/>
    <w:rsid w:val="00602A33"/>
    <w:rsid w:val="006043CD"/>
    <w:rsid w:val="00604653"/>
    <w:rsid w:val="006166D3"/>
    <w:rsid w:val="00620344"/>
    <w:rsid w:val="00624B2F"/>
    <w:rsid w:val="00625DAA"/>
    <w:rsid w:val="0062617A"/>
    <w:rsid w:val="00626885"/>
    <w:rsid w:val="00637A25"/>
    <w:rsid w:val="0065351A"/>
    <w:rsid w:val="00657A79"/>
    <w:rsid w:val="00670061"/>
    <w:rsid w:val="00672A7D"/>
    <w:rsid w:val="0067605D"/>
    <w:rsid w:val="0068486E"/>
    <w:rsid w:val="00693CF8"/>
    <w:rsid w:val="00693D65"/>
    <w:rsid w:val="00694F25"/>
    <w:rsid w:val="006A15A1"/>
    <w:rsid w:val="006A1D03"/>
    <w:rsid w:val="006B1152"/>
    <w:rsid w:val="006B7F9C"/>
    <w:rsid w:val="006C1131"/>
    <w:rsid w:val="006C18AF"/>
    <w:rsid w:val="006D141A"/>
    <w:rsid w:val="006D482B"/>
    <w:rsid w:val="006E653C"/>
    <w:rsid w:val="006E7112"/>
    <w:rsid w:val="006E7F0F"/>
    <w:rsid w:val="006F12B9"/>
    <w:rsid w:val="006F6834"/>
    <w:rsid w:val="007118BA"/>
    <w:rsid w:val="00713078"/>
    <w:rsid w:val="00714E6B"/>
    <w:rsid w:val="0071770E"/>
    <w:rsid w:val="0072447E"/>
    <w:rsid w:val="007350C4"/>
    <w:rsid w:val="00741BD8"/>
    <w:rsid w:val="007516D9"/>
    <w:rsid w:val="00755159"/>
    <w:rsid w:val="00755B14"/>
    <w:rsid w:val="00756906"/>
    <w:rsid w:val="0076021E"/>
    <w:rsid w:val="00764A43"/>
    <w:rsid w:val="00764BF7"/>
    <w:rsid w:val="00774FDA"/>
    <w:rsid w:val="00780BA6"/>
    <w:rsid w:val="00782B00"/>
    <w:rsid w:val="00787E9B"/>
    <w:rsid w:val="00792125"/>
    <w:rsid w:val="00794C0D"/>
    <w:rsid w:val="0079657F"/>
    <w:rsid w:val="00797F32"/>
    <w:rsid w:val="007A0BF5"/>
    <w:rsid w:val="007A151E"/>
    <w:rsid w:val="007A4513"/>
    <w:rsid w:val="007A705E"/>
    <w:rsid w:val="007B51F0"/>
    <w:rsid w:val="007B56CE"/>
    <w:rsid w:val="007B77A6"/>
    <w:rsid w:val="007C3FBA"/>
    <w:rsid w:val="007C57AF"/>
    <w:rsid w:val="007D0172"/>
    <w:rsid w:val="007D3828"/>
    <w:rsid w:val="007E30E3"/>
    <w:rsid w:val="007E5AC0"/>
    <w:rsid w:val="008019DC"/>
    <w:rsid w:val="00803537"/>
    <w:rsid w:val="00803EC5"/>
    <w:rsid w:val="008073DD"/>
    <w:rsid w:val="008074D4"/>
    <w:rsid w:val="0081418D"/>
    <w:rsid w:val="00814BC7"/>
    <w:rsid w:val="00814DAD"/>
    <w:rsid w:val="0081707F"/>
    <w:rsid w:val="008221C5"/>
    <w:rsid w:val="00833D34"/>
    <w:rsid w:val="00833D9C"/>
    <w:rsid w:val="00853C21"/>
    <w:rsid w:val="00873ADA"/>
    <w:rsid w:val="008775B8"/>
    <w:rsid w:val="00877D32"/>
    <w:rsid w:val="008809CB"/>
    <w:rsid w:val="00884130"/>
    <w:rsid w:val="00893714"/>
    <w:rsid w:val="00897859"/>
    <w:rsid w:val="008B293F"/>
    <w:rsid w:val="008C1635"/>
    <w:rsid w:val="008C3F22"/>
    <w:rsid w:val="008C41E4"/>
    <w:rsid w:val="008C6E74"/>
    <w:rsid w:val="008D3D75"/>
    <w:rsid w:val="008D748A"/>
    <w:rsid w:val="008E22EC"/>
    <w:rsid w:val="00904C94"/>
    <w:rsid w:val="0091518F"/>
    <w:rsid w:val="00917C10"/>
    <w:rsid w:val="00926860"/>
    <w:rsid w:val="009337AC"/>
    <w:rsid w:val="0093562A"/>
    <w:rsid w:val="0094051C"/>
    <w:rsid w:val="00945A08"/>
    <w:rsid w:val="00956E15"/>
    <w:rsid w:val="00957A33"/>
    <w:rsid w:val="00971AF2"/>
    <w:rsid w:val="00974121"/>
    <w:rsid w:val="009842AD"/>
    <w:rsid w:val="0098739B"/>
    <w:rsid w:val="0099335B"/>
    <w:rsid w:val="009972E9"/>
    <w:rsid w:val="009A128A"/>
    <w:rsid w:val="009A323E"/>
    <w:rsid w:val="009A6103"/>
    <w:rsid w:val="009B42E6"/>
    <w:rsid w:val="009B789C"/>
    <w:rsid w:val="009D7141"/>
    <w:rsid w:val="00A024E9"/>
    <w:rsid w:val="00A14DA2"/>
    <w:rsid w:val="00A20A87"/>
    <w:rsid w:val="00A25B5B"/>
    <w:rsid w:val="00A25E2F"/>
    <w:rsid w:val="00A31E55"/>
    <w:rsid w:val="00A3231B"/>
    <w:rsid w:val="00A33C94"/>
    <w:rsid w:val="00A37A26"/>
    <w:rsid w:val="00A46556"/>
    <w:rsid w:val="00A5211C"/>
    <w:rsid w:val="00A61076"/>
    <w:rsid w:val="00A610D3"/>
    <w:rsid w:val="00A71489"/>
    <w:rsid w:val="00A72C3C"/>
    <w:rsid w:val="00A7738C"/>
    <w:rsid w:val="00A8662C"/>
    <w:rsid w:val="00A9280D"/>
    <w:rsid w:val="00A9498D"/>
    <w:rsid w:val="00A96542"/>
    <w:rsid w:val="00AA46CA"/>
    <w:rsid w:val="00AA59C4"/>
    <w:rsid w:val="00AC6FA2"/>
    <w:rsid w:val="00AD6C25"/>
    <w:rsid w:val="00AE1ACC"/>
    <w:rsid w:val="00AF4290"/>
    <w:rsid w:val="00B00260"/>
    <w:rsid w:val="00B00992"/>
    <w:rsid w:val="00B0712F"/>
    <w:rsid w:val="00B078E6"/>
    <w:rsid w:val="00B1574D"/>
    <w:rsid w:val="00B1685A"/>
    <w:rsid w:val="00B23348"/>
    <w:rsid w:val="00B233FA"/>
    <w:rsid w:val="00B34CD1"/>
    <w:rsid w:val="00B4280D"/>
    <w:rsid w:val="00B501C5"/>
    <w:rsid w:val="00B52EC9"/>
    <w:rsid w:val="00B567EE"/>
    <w:rsid w:val="00B60B3D"/>
    <w:rsid w:val="00B62FF8"/>
    <w:rsid w:val="00B63BA7"/>
    <w:rsid w:val="00B74C61"/>
    <w:rsid w:val="00B7607E"/>
    <w:rsid w:val="00B82CC7"/>
    <w:rsid w:val="00B86A5F"/>
    <w:rsid w:val="00B9156A"/>
    <w:rsid w:val="00B94D7E"/>
    <w:rsid w:val="00B95947"/>
    <w:rsid w:val="00BA0E1B"/>
    <w:rsid w:val="00BB0456"/>
    <w:rsid w:val="00BB349F"/>
    <w:rsid w:val="00BB4918"/>
    <w:rsid w:val="00BB52EA"/>
    <w:rsid w:val="00BB5985"/>
    <w:rsid w:val="00BC5CE9"/>
    <w:rsid w:val="00BC6C3E"/>
    <w:rsid w:val="00BD37A5"/>
    <w:rsid w:val="00BD536C"/>
    <w:rsid w:val="00BE22E2"/>
    <w:rsid w:val="00BE72CC"/>
    <w:rsid w:val="00BF1983"/>
    <w:rsid w:val="00C0608C"/>
    <w:rsid w:val="00C12CF4"/>
    <w:rsid w:val="00C16CCE"/>
    <w:rsid w:val="00C17243"/>
    <w:rsid w:val="00C24858"/>
    <w:rsid w:val="00C25DA1"/>
    <w:rsid w:val="00C3318C"/>
    <w:rsid w:val="00C35B6A"/>
    <w:rsid w:val="00C40631"/>
    <w:rsid w:val="00C41A7B"/>
    <w:rsid w:val="00C42B55"/>
    <w:rsid w:val="00C4379B"/>
    <w:rsid w:val="00C44847"/>
    <w:rsid w:val="00C4544D"/>
    <w:rsid w:val="00C46815"/>
    <w:rsid w:val="00C624A5"/>
    <w:rsid w:val="00C67A9D"/>
    <w:rsid w:val="00C746E0"/>
    <w:rsid w:val="00C931E4"/>
    <w:rsid w:val="00CA2401"/>
    <w:rsid w:val="00CA2EC3"/>
    <w:rsid w:val="00CA3A86"/>
    <w:rsid w:val="00CA43C5"/>
    <w:rsid w:val="00CB4C02"/>
    <w:rsid w:val="00CB649F"/>
    <w:rsid w:val="00CC06D4"/>
    <w:rsid w:val="00CC4956"/>
    <w:rsid w:val="00CC5A8E"/>
    <w:rsid w:val="00CD4E11"/>
    <w:rsid w:val="00CD72FF"/>
    <w:rsid w:val="00CD7BBC"/>
    <w:rsid w:val="00CE05B5"/>
    <w:rsid w:val="00CF014C"/>
    <w:rsid w:val="00CF34D2"/>
    <w:rsid w:val="00CF4439"/>
    <w:rsid w:val="00CF66C0"/>
    <w:rsid w:val="00D0304B"/>
    <w:rsid w:val="00D05B72"/>
    <w:rsid w:val="00D10461"/>
    <w:rsid w:val="00D16362"/>
    <w:rsid w:val="00D2258D"/>
    <w:rsid w:val="00D31D73"/>
    <w:rsid w:val="00D325B2"/>
    <w:rsid w:val="00D4130B"/>
    <w:rsid w:val="00D43A6B"/>
    <w:rsid w:val="00D60195"/>
    <w:rsid w:val="00D62F64"/>
    <w:rsid w:val="00D70872"/>
    <w:rsid w:val="00D8338E"/>
    <w:rsid w:val="00D85898"/>
    <w:rsid w:val="00D86E13"/>
    <w:rsid w:val="00D90DA2"/>
    <w:rsid w:val="00D94A1D"/>
    <w:rsid w:val="00D955C2"/>
    <w:rsid w:val="00DA6442"/>
    <w:rsid w:val="00DA756F"/>
    <w:rsid w:val="00DA79E6"/>
    <w:rsid w:val="00DB4A21"/>
    <w:rsid w:val="00DB57B7"/>
    <w:rsid w:val="00DB647D"/>
    <w:rsid w:val="00DC507A"/>
    <w:rsid w:val="00DD4901"/>
    <w:rsid w:val="00DE6377"/>
    <w:rsid w:val="00DF3F9C"/>
    <w:rsid w:val="00E01C78"/>
    <w:rsid w:val="00E1623F"/>
    <w:rsid w:val="00E17948"/>
    <w:rsid w:val="00E23CB1"/>
    <w:rsid w:val="00E241E9"/>
    <w:rsid w:val="00E26755"/>
    <w:rsid w:val="00E36F57"/>
    <w:rsid w:val="00E378A6"/>
    <w:rsid w:val="00E44323"/>
    <w:rsid w:val="00E47D53"/>
    <w:rsid w:val="00E5063B"/>
    <w:rsid w:val="00E5662E"/>
    <w:rsid w:val="00E658DF"/>
    <w:rsid w:val="00E8060B"/>
    <w:rsid w:val="00E813CC"/>
    <w:rsid w:val="00E81F12"/>
    <w:rsid w:val="00E928C8"/>
    <w:rsid w:val="00E928E5"/>
    <w:rsid w:val="00E944BA"/>
    <w:rsid w:val="00EA0DC3"/>
    <w:rsid w:val="00EA12C1"/>
    <w:rsid w:val="00EA3824"/>
    <w:rsid w:val="00EA786A"/>
    <w:rsid w:val="00EB0702"/>
    <w:rsid w:val="00EB28B9"/>
    <w:rsid w:val="00EC008D"/>
    <w:rsid w:val="00EC1049"/>
    <w:rsid w:val="00EC22E0"/>
    <w:rsid w:val="00EC3CEA"/>
    <w:rsid w:val="00ED3AE4"/>
    <w:rsid w:val="00ED5365"/>
    <w:rsid w:val="00ED6887"/>
    <w:rsid w:val="00ED6995"/>
    <w:rsid w:val="00ED7666"/>
    <w:rsid w:val="00EE6197"/>
    <w:rsid w:val="00EF1940"/>
    <w:rsid w:val="00EF442E"/>
    <w:rsid w:val="00F01368"/>
    <w:rsid w:val="00F05E15"/>
    <w:rsid w:val="00F14998"/>
    <w:rsid w:val="00F151AD"/>
    <w:rsid w:val="00F169FC"/>
    <w:rsid w:val="00F33052"/>
    <w:rsid w:val="00F3378D"/>
    <w:rsid w:val="00F33ADE"/>
    <w:rsid w:val="00F34DD5"/>
    <w:rsid w:val="00F35097"/>
    <w:rsid w:val="00F41C47"/>
    <w:rsid w:val="00F5050F"/>
    <w:rsid w:val="00F53705"/>
    <w:rsid w:val="00F556B6"/>
    <w:rsid w:val="00F74764"/>
    <w:rsid w:val="00F857F6"/>
    <w:rsid w:val="00F85FF6"/>
    <w:rsid w:val="00FB0B5C"/>
    <w:rsid w:val="00FB3768"/>
    <w:rsid w:val="00FC4985"/>
    <w:rsid w:val="00FC6B2E"/>
    <w:rsid w:val="00FD0317"/>
    <w:rsid w:val="00FD3368"/>
    <w:rsid w:val="00FF35DB"/>
    <w:rsid w:val="00FF565F"/>
  </w:rsids>
  <m:mathPr>
    <m:mathFont m:val="Cambria Math"/>
  </m:mathPr>
  <w:themeFontLang w:val="en-CA"/>
  <w:clrSchemeMapping w:bg1="light1" w:t1="dark1" w:bg2="light2" w:t2="dark2" w:accent1="accent1" w:accent2="accent2" w:accent3="accent3" w:accent4="accent4" w:accent5="accent5" w:accent6="accent6" w:hyperlink="hyperlink" w:followedHyperlink="followedHyperlink"/>
  <w14:docId w14:val="709B527C"/>
  <w15:chartTrackingRefBased/>
  <w15:docId w15:val="{12419E17-88F7-7A4E-AAC2-0F7298B15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semiHidden/>
    <w:qFormat/>
    <w:rsid w:val="000B25DA"/>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semiHidden/>
    <w:unhideWhenUsed/>
    <w:qFormat/>
    <w:rsid w:val="000B25DA"/>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0B25DA"/>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0B25DA"/>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B25DA"/>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782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2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2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2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semiHidden/>
    <w:rsid w:val="000B25DA"/>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semiHidden/>
    <w:rsid w:val="000B25DA"/>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0B25DA"/>
    <w:rPr>
      <w:rFonts w:eastAsiaTheme="majorEastAsia" w:cstheme="majorBidi"/>
      <w:sz w:val="28"/>
      <w:szCs w:val="28"/>
    </w:rPr>
  </w:style>
  <w:style w:type="character" w:customStyle="1" w:styleId="Heading4Char">
    <w:name w:val="Heading 4 Char"/>
    <w:basedOn w:val="DefaultParagraphFont"/>
    <w:link w:val="Heading4"/>
    <w:uiPriority w:val="9"/>
    <w:semiHidden/>
    <w:rsid w:val="000B25DA"/>
    <w:rPr>
      <w:rFonts w:eastAsiaTheme="majorEastAsia" w:cstheme="majorBidi"/>
      <w:i/>
      <w:iCs/>
    </w:rPr>
  </w:style>
  <w:style w:type="character" w:customStyle="1" w:styleId="Heading5Char">
    <w:name w:val="Heading 5 Char"/>
    <w:basedOn w:val="DefaultParagraphFont"/>
    <w:link w:val="Heading5"/>
    <w:uiPriority w:val="9"/>
    <w:semiHidden/>
    <w:rsid w:val="000B25DA"/>
    <w:rPr>
      <w:rFonts w:eastAsiaTheme="majorEastAsia" w:cstheme="majorBidi"/>
    </w:rPr>
  </w:style>
  <w:style w:type="character" w:customStyle="1" w:styleId="Heading6Char">
    <w:name w:val="Heading 6 Char"/>
    <w:basedOn w:val="DefaultParagraphFont"/>
    <w:link w:val="Heading6"/>
    <w:uiPriority w:val="9"/>
    <w:semiHidden/>
    <w:rsid w:val="00782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2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2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2B00"/>
    <w:rPr>
      <w:rFonts w:eastAsiaTheme="majorEastAsia" w:cstheme="majorBidi"/>
      <w:color w:val="272727" w:themeColor="text1" w:themeTint="D8"/>
    </w:rPr>
  </w:style>
  <w:style w:type="paragraph" w:styleId="Title">
    <w:name w:val="Title"/>
    <w:basedOn w:val="Normal"/>
    <w:next w:val="Normal"/>
    <w:link w:val="TitleChar"/>
    <w:uiPriority w:val="10"/>
    <w:semiHidden/>
    <w:qFormat/>
    <w:rsid w:val="00782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782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qFormat/>
    <w:rsid w:val="00782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782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semiHidden/>
    <w:qFormat/>
    <w:rsid w:val="00782B00"/>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782B00"/>
    <w:rPr>
      <w:i/>
      <w:iCs/>
      <w:color w:val="404040" w:themeColor="text1" w:themeTint="BF"/>
    </w:rPr>
  </w:style>
  <w:style w:type="paragraph" w:styleId="ListParagraph">
    <w:name w:val="List Paragraph"/>
    <w:basedOn w:val="Normal"/>
    <w:uiPriority w:val="34"/>
    <w:semiHidden/>
    <w:qFormat/>
    <w:rsid w:val="00782B00"/>
    <w:pPr>
      <w:ind w:left="720"/>
      <w:contextualSpacing/>
    </w:pPr>
  </w:style>
  <w:style w:type="character" w:styleId="IntenseEmphasis">
    <w:name w:val="Intense Emphasis"/>
    <w:basedOn w:val="DefaultParagraphFont"/>
    <w:uiPriority w:val="21"/>
    <w:semiHidden/>
    <w:qFormat/>
    <w:rsid w:val="00782B00"/>
    <w:rPr>
      <w:i/>
      <w:iCs/>
      <w:color w:val="0F4761" w:themeColor="accent1" w:themeShade="BF"/>
    </w:rPr>
  </w:style>
  <w:style w:type="paragraph" w:styleId="IntenseQuote">
    <w:name w:val="Intense Quote"/>
    <w:basedOn w:val="Normal"/>
    <w:next w:val="Normal"/>
    <w:link w:val="IntenseQuoteChar"/>
    <w:uiPriority w:val="30"/>
    <w:semiHidden/>
    <w:qFormat/>
    <w:rsid w:val="00782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782B00"/>
    <w:rPr>
      <w:i/>
      <w:iCs/>
      <w:color w:val="0F4761" w:themeColor="accent1" w:themeShade="BF"/>
    </w:rPr>
  </w:style>
  <w:style w:type="character" w:styleId="IntenseReference">
    <w:name w:val="Intense Reference"/>
    <w:basedOn w:val="DefaultParagraphFont"/>
    <w:uiPriority w:val="32"/>
    <w:semiHidden/>
    <w:qFormat/>
    <w:rsid w:val="00782B00"/>
    <w:rPr>
      <w:b/>
      <w:bCs/>
      <w:smallCaps/>
      <w:color w:val="0F4761" w:themeColor="accent1" w:themeShade="BF"/>
      <w:spacing w:val="5"/>
    </w:rPr>
  </w:style>
  <w:style w:type="paragraph" w:customStyle="1" w:styleId="p1">
    <w:name w:val="p1"/>
    <w:basedOn w:val="Normal"/>
    <w:semiHidden/>
    <w:rsid w:val="00782B00"/>
    <w:pPr>
      <w:spacing w:after="0" w:line="240" w:lineRule="auto"/>
    </w:pPr>
    <w:rPr>
      <w:rFonts w:ascii="Helvetica" w:eastAsia="Times New Roman" w:hAnsi="Helvetica" w:cs="Times New Roman"/>
      <w:color w:val="000000"/>
      <w:kern w:val="0"/>
      <w:sz w:val="48"/>
      <w:szCs w:val="48"/>
      <w14:ligatures w14:val="none"/>
    </w:rPr>
  </w:style>
  <w:style w:type="paragraph" w:customStyle="1" w:styleId="p2">
    <w:name w:val="p2"/>
    <w:basedOn w:val="Normal"/>
    <w:semiHidden/>
    <w:rsid w:val="00782B00"/>
    <w:pPr>
      <w:spacing w:after="0" w:line="240" w:lineRule="auto"/>
    </w:pPr>
    <w:rPr>
      <w:rFonts w:ascii="Helvetica" w:eastAsia="Times New Roman" w:hAnsi="Helvetica" w:cs="Times New Roman"/>
      <w:color w:val="000000"/>
      <w:kern w:val="0"/>
      <w14:ligatures w14:val="none"/>
    </w:rPr>
  </w:style>
  <w:style w:type="paragraph" w:customStyle="1" w:styleId="p3">
    <w:name w:val="p3"/>
    <w:basedOn w:val="Normal"/>
    <w:semiHidden/>
    <w:rsid w:val="00782B00"/>
    <w:pPr>
      <w:spacing w:after="0" w:line="240" w:lineRule="auto"/>
    </w:pPr>
    <w:rPr>
      <w:rFonts w:ascii="Helvetica" w:eastAsia="Times New Roman" w:hAnsi="Helvetica" w:cs="Times New Roman"/>
      <w:color w:val="000000"/>
      <w:kern w:val="0"/>
      <w:sz w:val="36"/>
      <w:szCs w:val="36"/>
      <w14:ligatures w14:val="none"/>
    </w:rPr>
  </w:style>
  <w:style w:type="paragraph" w:customStyle="1" w:styleId="Report-Heading">
    <w:name w:val="Report - Heading"/>
    <w:basedOn w:val="p1"/>
    <w:qFormat/>
    <w:rsid w:val="00ED5365"/>
    <w:rPr>
      <w:rFonts w:ascii="Arial" w:hAnsi="Arial" w:cs="Arial"/>
      <w:sz w:val="36"/>
    </w:rPr>
  </w:style>
  <w:style w:type="paragraph" w:customStyle="1" w:styleId="Report-Body">
    <w:name w:val="Report - Body"/>
    <w:basedOn w:val="p2"/>
    <w:qFormat/>
    <w:rsid w:val="00D325B2"/>
    <w:rPr>
      <w:rFonts w:ascii="Arial" w:hAnsi="Arial" w:cs="Arial"/>
      <w:color w:val="1D1D1D"/>
      <w:szCs w:val="32"/>
    </w:rPr>
  </w:style>
  <w:style w:type="paragraph" w:customStyle="1" w:styleId="Report-BodyLink">
    <w:name w:val="Report - Body Link"/>
    <w:basedOn w:val="Report-Body"/>
    <w:semiHidden/>
    <w:qFormat/>
    <w:rsid w:val="00782B00"/>
    <w:rPr>
      <w:color w:val="013CB3"/>
      <w:u w:val="single"/>
    </w:rPr>
  </w:style>
  <w:style w:type="paragraph" w:customStyle="1" w:styleId="Report-SubheadLvl1">
    <w:name w:val="Report - Subhead Lvl. 1"/>
    <w:basedOn w:val="p3"/>
    <w:qFormat/>
    <w:rsid w:val="000B25DA"/>
    <w:rPr>
      <w:rFonts w:ascii="Arial" w:hAnsi="Arial" w:cs="Arial"/>
      <w:b/>
      <w:bCs/>
      <w:color w:val="auto"/>
      <w:sz w:val="26"/>
      <w:szCs w:val="40"/>
    </w:rPr>
  </w:style>
  <w:style w:type="paragraph" w:styleId="Header">
    <w:name w:val="header"/>
    <w:basedOn w:val="Normal"/>
    <w:link w:val="HeaderChar"/>
    <w:uiPriority w:val="99"/>
    <w:unhideWhenUsed/>
    <w:rsid w:val="00FB37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B3768"/>
  </w:style>
  <w:style w:type="paragraph" w:styleId="Footer">
    <w:name w:val="footer"/>
    <w:basedOn w:val="Normal"/>
    <w:link w:val="FooterChar"/>
    <w:uiPriority w:val="99"/>
    <w:unhideWhenUsed/>
    <w:rsid w:val="00FB376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B3768"/>
  </w:style>
  <w:style w:type="character" w:styleId="PageNumber">
    <w:name w:val="page number"/>
    <w:basedOn w:val="DefaultParagraphFont"/>
    <w:uiPriority w:val="99"/>
    <w:semiHidden/>
    <w:unhideWhenUsed/>
    <w:rsid w:val="0071770E"/>
  </w:style>
  <w:style w:type="character" w:styleId="Hyperlink">
    <w:name w:val="Hyperlink"/>
    <w:basedOn w:val="DefaultParagraphFont"/>
    <w:uiPriority w:val="99"/>
    <w:unhideWhenUsed/>
    <w:rsid w:val="0093562A"/>
    <w:rPr>
      <w:color w:val="467886" w:themeColor="hyperlink"/>
      <w:u w:val="single"/>
    </w:rPr>
  </w:style>
  <w:style w:type="character" w:styleId="UnresolvedMention">
    <w:name w:val="Unresolved Mention"/>
    <w:basedOn w:val="DefaultParagraphFont"/>
    <w:uiPriority w:val="99"/>
    <w:semiHidden/>
    <w:unhideWhenUsed/>
    <w:rsid w:val="0093562A"/>
    <w:rPr>
      <w:color w:val="605E5C"/>
      <w:shd w:val="clear" w:color="auto" w:fill="E1DFDD"/>
    </w:rPr>
  </w:style>
  <w:style w:type="character" w:customStyle="1" w:styleId="normaltextrun">
    <w:name w:val="normaltextrun"/>
    <w:basedOn w:val="DefaultParagraphFont"/>
    <w:semiHidden/>
    <w:rsid w:val="00C46815"/>
  </w:style>
  <w:style w:type="paragraph" w:customStyle="1" w:styleId="paragraph">
    <w:name w:val="paragraph"/>
    <w:basedOn w:val="Normal"/>
    <w:semiHidden/>
    <w:rsid w:val="00D325B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eop">
    <w:name w:val="eop"/>
    <w:basedOn w:val="DefaultParagraphFont"/>
    <w:semiHidden/>
    <w:rsid w:val="00D325B2"/>
  </w:style>
  <w:style w:type="character" w:customStyle="1" w:styleId="scxw5419088">
    <w:name w:val="scxw5419088"/>
    <w:basedOn w:val="DefaultParagraphFont"/>
    <w:semiHidden/>
    <w:rsid w:val="003B55C8"/>
  </w:style>
  <w:style w:type="paragraph" w:customStyle="1" w:styleId="Report-Subhead-Lvl2">
    <w:name w:val="Report - Subhead - Lvl. 2"/>
    <w:basedOn w:val="Report-Body"/>
    <w:semiHidden/>
    <w:qFormat/>
    <w:rsid w:val="00ED6887"/>
    <w:rPr>
      <w:color w:val="auto"/>
    </w:rPr>
  </w:style>
  <w:style w:type="paragraph" w:customStyle="1" w:styleId="Report-Metadata">
    <w:name w:val="Report - Metadata"/>
    <w:basedOn w:val="Report-Body"/>
    <w:qFormat/>
    <w:rsid w:val="00F34DD5"/>
    <w:pPr>
      <w:ind w:left="720"/>
    </w:pPr>
    <w:rPr>
      <w:b/>
      <w:bCs/>
      <w:sz w:val="18"/>
      <w:szCs w:val="16"/>
    </w:rPr>
  </w:style>
  <w:style w:type="character" w:customStyle="1" w:styleId="scxw86120433">
    <w:name w:val="scxw86120433"/>
    <w:basedOn w:val="DefaultParagraphFont"/>
    <w:semiHidden/>
    <w:rsid w:val="00756906"/>
  </w:style>
  <w:style w:type="paragraph" w:customStyle="1" w:styleId="Report-SnippetSubheadLvl3">
    <w:name w:val="Report - Snippet Subhead Lvl. 3"/>
    <w:basedOn w:val="Report-Body"/>
    <w:next w:val="Report-Body"/>
    <w:semiHidden/>
    <w:qFormat/>
    <w:rsid w:val="00D10461"/>
    <w:pPr>
      <w:spacing w:before="240" w:after="240"/>
      <w:ind w:left="143" w:right="134"/>
    </w:pPr>
    <w:rPr>
      <w:rFonts w:eastAsiaTheme="majorEastAsia"/>
      <w:b/>
      <w:bCs/>
    </w:rPr>
  </w:style>
  <w:style w:type="paragraph" w:customStyle="1" w:styleId="Report-MetadataDOT">
    <w:name w:val="Report - Metadata DOT"/>
    <w:basedOn w:val="Report-Body"/>
    <w:semiHidden/>
    <w:qFormat/>
    <w:rsid w:val="0081707F"/>
    <w:pPr>
      <w:ind w:left="720"/>
    </w:pPr>
    <w:rPr>
      <w:rFonts w:eastAsiaTheme="majorEastAsia"/>
      <w:b/>
      <w:bCs/>
      <w:color w:val="7F7F7F" w:themeColor="text1" w:themeTint="80"/>
      <w:sz w:val="16"/>
      <w:szCs w:val="16"/>
    </w:rPr>
  </w:style>
  <w:style w:type="character" w:customStyle="1" w:styleId="scxw58347994">
    <w:name w:val="scxw58347994"/>
    <w:basedOn w:val="DefaultParagraphFont"/>
    <w:semiHidden/>
    <w:rsid w:val="007B77A6"/>
  </w:style>
  <w:style w:type="character" w:styleId="PlaceholderText">
    <w:name w:val="Placeholder Text"/>
    <w:basedOn w:val="DefaultParagraphFont"/>
    <w:uiPriority w:val="99"/>
    <w:semiHidden/>
    <w:rsid w:val="002233E3"/>
    <w:rPr>
      <w:color w:val="666666"/>
    </w:rPr>
  </w:style>
  <w:style w:type="table" w:styleId="TableGrid">
    <w:name w:val="Table Grid"/>
    <w:basedOn w:val="TableNormal"/>
    <w:uiPriority w:val="39"/>
    <w:semiHidden/>
    <w:rsid w:val="009A61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ummaryAndSnippets">
    <w:name w:val="SummaryAndSnippets"/>
    <w:basedOn w:val="TableNormal"/>
    <w:uiPriority w:val="99"/>
    <w:rsid w:val="009A6103"/>
    <w:pPr>
      <w:spacing w:after="0" w:line="240" w:lineRule="auto"/>
    </w:pPr>
    <w:rPr>
      <w:rFonts w:ascii="Arial" w:hAnsi="Arial"/>
    </w:rPr>
    <w:tblPr>
      <w:tblInd w:w="706" w:type="dxa"/>
      <w:tblBorders>
        <w:top w:val="single" w:sz="6" w:space="0" w:color="E8E8E8"/>
        <w:left w:val="single" w:sz="6" w:space="0" w:color="E8E8E8"/>
        <w:bottom w:val="single" w:sz="6" w:space="0" w:color="E8E8E8"/>
        <w:right w:val="single" w:sz="6" w:space="0" w:color="E8E8E8"/>
        <w:insideH w:val="single" w:sz="6" w:space="0" w:color="E8E8E8"/>
        <w:insideV w:val="single" w:sz="6" w:space="0" w:color="E8E8E8"/>
      </w:tblBorders>
      <w:tblCellMar>
        <w:top w:w="173" w:type="dxa"/>
        <w:left w:w="173" w:type="dxa"/>
        <w:bottom w:w="173" w:type="dxa"/>
        <w:right w:w="173" w:type="dxa"/>
      </w:tblCellMar>
    </w:tblPr>
    <w:tcPr>
      <w:shd w:val="clear" w:color="auto" w:fill="auto"/>
    </w:tcPr>
  </w:style>
  <w:style w:type="table" w:customStyle="1" w:styleId="AnswerBody">
    <w:name w:val="AnswerBody"/>
    <w:basedOn w:val="SummaryAndSnippets"/>
    <w:uiPriority w:val="99"/>
    <w:semiHidden/>
    <w:rsid w:val="007E5AC0"/>
    <w:tblPr>
      <w:tblInd w:w="0" w:type="dxa"/>
    </w:tblPr>
  </w:style>
  <w:style w:type="numbering" w:customStyle="1" w:styleId="ResearchSteps">
    <w:name w:val="ResearchSteps"/>
    <w:uiPriority w:val="99"/>
    <w:semiHidden/>
    <w:rsid w:val="000A62DD"/>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1.next.westlaw.com/Document/I407c3a00791511ec9c73d7682396ea1c/View/FullText.html?transitionType=AIGuidedResearch&amp;contextData=%28sc.Default%29&amp;list=All&amp;listSource=WebsiteInternal&amp;conversationId=60319574-b224-4c65-8425-fcdce1bf7326" TargetMode="External" /><Relationship Id="rId11" Type="http://schemas.openxmlformats.org/officeDocument/2006/relationships/hyperlink" Target="https://1.next.westlaw.com/Link/RelatedInformation/Flag?docGuid=I918674d4743311e5a807ad48145ed9f1&amp;ppcid=i0a89ba1c0000019c26173c0cb02e0c97&amp;transitionType=AIGuidedResearch&amp;contextData=%28sc.Default%29&amp;conversationId=60319574-b224-4c65-8425-fcdce1bf7326" TargetMode="External" /><Relationship Id="rId12" Type="http://schemas.openxmlformats.org/officeDocument/2006/relationships/hyperlink" Target="https://1.next.westlaw.com/Document/I918674d4743311e5a807ad48145ed9f1/View/FullText.html?transitionType=AIGuidedResearch&amp;contextData=%28sc.Default%29&amp;list=All&amp;listSource=WebsiteInternal&amp;conversationId=60319574-b224-4c65-8425-fcdce1bf7326" TargetMode="External" /><Relationship Id="rId13" Type="http://schemas.openxmlformats.org/officeDocument/2006/relationships/hyperlink" Target="https://1.next.westlaw.com/Document/I190c8ed0970a11e792fdd763512bbe26/View/FullText.html?transitionType=AIGuidedResearch&amp;contextData=%28sc.Default%29&amp;list=All&amp;listSource=WebsiteInternal&amp;conversationId=60319574-b224-4c65-8425-fcdce1bf7326" TargetMode="External" /><Relationship Id="rId14" Type="http://schemas.openxmlformats.org/officeDocument/2006/relationships/hyperlink" Target="https://1.next.westlaw.com/Document/Ib8c26518719e11da9907dfbe13053825/View/FullText.html?transitionType=AIGuidedResearch&amp;contextData=%28sc.Default%29&amp;list=All&amp;listSource=WebsiteInternal&amp;conversationId=60319574-b224-4c65-8425-fcdce1bf7326" TargetMode="External" /><Relationship Id="rId15" Type="http://schemas.openxmlformats.org/officeDocument/2006/relationships/hyperlink" Target="https://1.next.westlaw.com/Document/I2b3a07fa9f1311db9d6ac2f94b704450/View/FullText.html?transitionType=AIGuidedResearch&amp;contextData=%28sc.Default%29&amp;list=All&amp;listSource=WebsiteInternal&amp;conversationId=60319574-b224-4c65-8425-fcdce1bf7326" TargetMode="External" /><Relationship Id="rId16" Type="http://schemas.openxmlformats.org/officeDocument/2006/relationships/hyperlink" Target="https://1.next.westlaw.com/Document/I87fdccf6d85411d98651e4471e6b3f1a/View/FullText.html?transitionType=AIGuidedResearch&amp;contextData=%28sc.Default%29&amp;list=All&amp;listSource=WebsiteInternal&amp;conversationId=60319574-b224-4c65-8425-fcdce1bf7326" TargetMode="External" /><Relationship Id="rId17" Type="http://schemas.openxmlformats.org/officeDocument/2006/relationships/hyperlink" Target="https://1.next.westlaw.com/Document/I7c5360087a2011e8a5b3e3d9e23d7429/View/FullText.html?transitionType=AIGuidedResearch&amp;contextData=%28sc.Default%29&amp;list=All&amp;listSource=WebsiteInternal&amp;conversationId=60319574-b224-4c65-8425-fcdce1bf7326" TargetMode="External" /><Relationship Id="rId18" Type="http://schemas.openxmlformats.org/officeDocument/2006/relationships/hyperlink" Target="https://1.next.westlaw.com/Document/I27e218d78b6011e8a5b3e3d9e23d7429/View/FullText.html?transitionType=AIGuidedResearch&amp;contextData=%28sc.Default%29&amp;list=All&amp;listSource=WebsiteInternal&amp;conversationId=60319574-b224-4c65-8425-fcdce1bf7326" TargetMode="External" /><Relationship Id="rId19" Type="http://schemas.openxmlformats.org/officeDocument/2006/relationships/hyperlink" Target="https://1.next.westlaw.com/Document/I6638858cc7fe11e8a5b3e3d9e23d7429/View/FullText.html?transitionType=AIGuidedResearch&amp;contextData=%28sc.Default%29&amp;list=All&amp;listSource=WebsiteInternal&amp;conversationId=60319574-b224-4c65-8425-fcdce1bf7326" TargetMode="External" /><Relationship Id="rId2" Type="http://schemas.openxmlformats.org/officeDocument/2006/relationships/webSettings" Target="webSettings.xml" /><Relationship Id="rId20" Type="http://schemas.openxmlformats.org/officeDocument/2006/relationships/header" Target="header1.xml" /><Relationship Id="rId21" Type="http://schemas.openxmlformats.org/officeDocument/2006/relationships/footer" Target="footer1.xml" /><Relationship Id="rId22" Type="http://schemas.openxmlformats.org/officeDocument/2006/relationships/footer" Target="footer2.xml" /><Relationship Id="rId23" Type="http://schemas.openxmlformats.org/officeDocument/2006/relationships/theme" Target="theme/theme1.xml" /><Relationship Id="rId24" Type="http://schemas.openxmlformats.org/officeDocument/2006/relationships/numbering" Target="numbering.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yperlink" Target="https://1.next.westlaw.com/Document/I808bb4b994d311d9a707f4371c9c34f0/View/FullText.html?transitionType=AIGuidedResearch&amp;contextData=%28sc.Default%29&amp;list=All&amp;listSource=WebsiteInternal&amp;conversationId=60319574-b224-4c65-8425-fcdce1bf7326" TargetMode="External" /><Relationship Id="rId5" Type="http://schemas.openxmlformats.org/officeDocument/2006/relationships/hyperlink" Target="https://1.next.westlaw.com/Link/RelatedInformation/Flag?docGuid=I65ab25061b5211e3b0499ca71fc6ba70&amp;ppcid=i0a89ba1c0000019c26173c0cb02e0c97&amp;transitionType=AIGuidedResearch&amp;contextData=%28sc.Default%29&amp;conversationId=60319574-b224-4c65-8425-fcdce1bf7326" TargetMode="External" /><Relationship Id="rId6" Type="http://schemas.openxmlformats.org/officeDocument/2006/relationships/image" Target="https://i1.next.westlaw.com/permalink/indigo/flag_yellow_small.png" TargetMode="External" /><Relationship Id="rId7" Type="http://schemas.openxmlformats.org/officeDocument/2006/relationships/hyperlink" Target="https://1.next.westlaw.com/Document/I65ab25061b5211e3b0499ca71fc6ba70/View/FullText.html?transitionType=AIGuidedResearch&amp;contextData=%28sc.Default%29&amp;list=All&amp;listSource=WebsiteInternal&amp;conversationId=60319574-b224-4c65-8425-fcdce1bf7326" TargetMode="External" /><Relationship Id="rId8" Type="http://schemas.openxmlformats.org/officeDocument/2006/relationships/hyperlink" Target="https://1.next.westlaw.com/Link/RelatedInformation/Flag?docGuid=Ifd67b741f54e11ed93738d5a07d4dec7&amp;ppcid=i0a89ba1c0000019c26173c0cb02e0c97&amp;transitionType=AIGuidedResearch&amp;contextData=%28sc.Default%29&amp;conversationId=60319574-b224-4c65-8425-fcdce1bf7326" TargetMode="External" /><Relationship Id="rId9" Type="http://schemas.openxmlformats.org/officeDocument/2006/relationships/hyperlink" Target="https://1.next.westlaw.com/Document/Ifd67b741f54e11ed93738d5a07d4dec7/View/FullText.html?transitionType=AIGuidedResearch&amp;contextData=%28sc.Default%29&amp;list=All&amp;listSource=WebsiteInternal&amp;conversationId=60319574-b224-4c65-8425-fcdce1bf732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715</TotalTime>
  <Pages>12</Pages>
  <Words>36</Words>
  <Characters>742</Characters>
  <Application>Microsoft Office Word</Application>
  <DocSecurity>0</DocSecurity>
  <Lines>60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Westlaw AI Deep Research</dc:creator>
  <cp:lastModifiedBy>Westlaw AI Deep Research</cp:lastModifiedBy>
  <cp:revision>257</cp:revision>
  <dcterms:created xsi:type="dcterms:W3CDTF">2025-07-30T20:26:00Z</dcterms:created>
  <dcterms:modified xsi:type="dcterms:W3CDTF">2025-11-18T20:12:00Z</dcterms:modified>
</cp:coreProperties>
</file>