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i w:val="0"/>
          <w:strike w:val="0"/>
        </w:rPr>
        <w:t>Core Question:</w:t>
      </w:r>
      <w:r>
        <w:rPr>
          <w:b w:val="0"/>
          <w:i w:val="0"/>
          <w:strike w:val="0"/>
        </w:rPr>
        <w:t xml:space="preserve"> When a nonprofit subsidiary releases educational materials that incidentally benefit the parent company's reputation/revenue, does this defeat nonprofit educational characterization for Factor 1?</w:t>
        <w:br/>
        <w:br/>
      </w:r>
      <w:r>
        <w:rPr>
          <w:b/>
          <w:i w:val="0"/>
          <w:strike w:val="0"/>
        </w:rPr>
        <w:t>Sub-questions:</w:t>
      </w:r>
      <w:r>
        <w:rPr>
          <w:b w:val="0"/>
          <w:i w:val="0"/>
          <w:strike w:val="0"/>
        </w:rPr>
        <w:br/>
        <w:br/>
        <w:t>- What is the test for "primary purpose" vs. "incidental benefits" in Second Circuit?</w:t>
        <w:br/>
        <w:t>- How do courts treat PR/reputational benefits that flow to parent companies?</w:t>
        <w:br/>
        <w:t>- Does licensing at/below cost through nonprofit division insulate from commerciality finding?</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New York</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Based on your question, this response is focused on 2nd Circuit, not the original selection of New York.</w:t>
        <w:br/>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2nd Circuit precedent, a nonprofit subsidiary releasing educational materials that incidentally benefit the parent company's reputation or revenue does not automatically defeat nonprofit educational characterization for Factor 1 analysis. The controlling standard focuses on whether the organization exploits copyrighted material "without paying the customary price" and whether the educational purpose remains substantial rather than merely incidental </w:t>
      </w:r>
      <w:hyperlink r:id="rId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General reputational and mission-advancement benefits inherent to legitimate nonprofit activities do not constitute commercial use, and licensing educational materials at or below cost supports rather than undermines educational characterization </w:t>
      </w:r>
      <w:hyperlink r:id="rId4" w:history="1">
        <w:r>
          <w:pict>
            <v:shape id="_x0000_i1027"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w:t>
      </w:r>
      <w:hyperlink r:id="rId7" w:history="1">
        <w:r>
          <w:pict>
            <v:shape id="_x0000_i1028"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Lish v. Harper's Magazine Foundation, 807 F.Supp. 1090 (1992)</w: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Mayo Clinic v. United States, 145 F.4th 877 (2025)</w:t>
        </w:r>
      </w:hyperlink>
      <w:r>
        <w:rPr>
          <w:rFonts w:ascii="Arial" w:eastAsia="Times New Roman" w:hAnsi="Arial" w:cs="Arial"/>
          <w:b w:val="0"/>
          <w:i w:val="0"/>
          <w:strike w:val="0"/>
          <w:color w:val="1D1D1D"/>
          <w:u w:val="none"/>
        </w:rPr>
        <w:t>.</w:t>
        <w:br/>
      </w:r>
    </w:p>
    <w:p>
      <w:pPr>
        <w:pStyle w:val="Heading3"/>
        <w:rPr>
          <w:b w:val="0"/>
          <w:i w:val="0"/>
          <w:strike w:val="0"/>
        </w:rPr>
      </w:pPr>
      <w:r>
        <w:rPr>
          <w:b/>
          <w:u w:val="none"/>
        </w:rPr>
        <w:t>The 2nd Circuit's Commercial Use Framework</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in </w:t>
      </w:r>
      <w:r>
        <w:rPr>
          <w:rFonts w:ascii="Arial" w:eastAsia="Times New Roman" w:hAnsi="Arial" w:cs="Arial"/>
          <w:b w:val="0"/>
          <w:i/>
          <w:strike w:val="0"/>
          <w:color w:val="1D1D1D"/>
          <w:u w:val="none"/>
        </w:rPr>
        <w:t>Hachette Book Group, Inc. v. Internet Archive</w:t>
      </w:r>
      <w:r>
        <w:rPr>
          <w:rFonts w:ascii="Arial" w:eastAsia="Times New Roman" w:hAnsi="Arial" w:cs="Arial"/>
          <w:b w:val="0"/>
          <w:i w:val="0"/>
          <w:strike w:val="0"/>
          <w:color w:val="1D1D1D"/>
          <w:u w:val="none"/>
        </w:rPr>
        <w:t xml:space="preserve"> established the key framework for analyzing when nonprofit activities constitute commercial use under Factor 1. The court held that "the crux of the profit/nonprofit distinction is not whether the sole motive of the use is monetary gain, but whether the user stands to profit from exploitation of the copyrighted material without paying the customary price" </w:t>
      </w:r>
      <w:hyperlink r:id="rId4" w:history="1">
        <w:r>
          <w:pict>
            <v:shape id="_x0000_i1029"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This standard focuses on direct economic exploitation rather than incidental benefits.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Critically, the court distinguished between illegitimate commercial benefits and legitimate nonprofit activities, reasoning that a nonprofit "does not stand to gain the direct reputational benefits that accompany presenting another's work as one's own. Rather, it obtains only those nonmonetary benefits that attend most other legitimate, secondary uses, including advancing its mission and bolstering its reputation" </w:t>
      </w:r>
      <w:hyperlink r:id="rId4" w:history="1">
        <w:r>
          <w:pict>
            <v:shape id="_x0000_i1030"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 xml:space="preserve">. The court emphasized that "characterizing these general benefits as commercial profits would render commercial the activities of virtually any nonprofit organization that bolsters its reputation through its own nonprofit activities" </w:t>
      </w:r>
      <w:hyperlink r:id="rId4" w:history="1">
        <w:r>
          <w:pict>
            <v:shape id="_x0000_i1031"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6" w:history="1">
        <w:r>
          <w:rPr>
            <w:rStyle w:val="Hyperlink"/>
            <w:rFonts w:ascii="Arial" w:eastAsia="Times New Roman" w:hAnsi="Arial" w:cs="Arial"/>
            <w:b w:val="0"/>
            <w:i w:val="0"/>
            <w:strike w:val="0"/>
            <w:color w:val="467886"/>
            <w:u w:val="none"/>
          </w:rPr>
          <w:t>Hachette Book Group, Inc. v. Internet Archive, 115 F.4th 163 (2024)</w:t>
        </w:r>
      </w:hyperlink>
      <w:r>
        <w:rPr>
          <w:rFonts w:ascii="Arial" w:eastAsia="Times New Roman" w:hAnsi="Arial" w:cs="Arial"/>
          <w:b w:val="0"/>
          <w:i w:val="0"/>
          <w:strike w:val="0"/>
          <w:color w:val="1D1D1D"/>
          <w:u w:val="none"/>
        </w:rPr>
        <w:t>.</w:t>
        <w:br/>
      </w:r>
    </w:p>
    <w:p>
      <w:pPr>
        <w:pStyle w:val="Heading3"/>
        <w:rPr>
          <w:b w:val="0"/>
          <w:i w:val="0"/>
          <w:strike w:val="0"/>
        </w:rPr>
      </w:pPr>
      <w:r>
        <w:rPr>
          <w:b/>
          <w:u w:val="none"/>
        </w:rPr>
        <w:t>Primary Purpose vs. Incidental Benefits Test</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legal framework distinguishes between an organization's primary purpose and incidental commercial effects. In </w:t>
      </w:r>
      <w:r>
        <w:rPr>
          <w:rFonts w:ascii="Arial" w:eastAsia="Times New Roman" w:hAnsi="Arial" w:cs="Arial"/>
          <w:b w:val="0"/>
          <w:i/>
          <w:strike w:val="0"/>
          <w:color w:val="1D1D1D"/>
          <w:u w:val="none"/>
        </w:rPr>
        <w:t>Lish v. Harper's Magazine Foundation</w:t>
      </w:r>
      <w:r>
        <w:rPr>
          <w:rFonts w:ascii="Arial" w:eastAsia="Times New Roman" w:hAnsi="Arial" w:cs="Arial"/>
          <w:b w:val="0"/>
          <w:i w:val="0"/>
          <w:strike w:val="0"/>
          <w:color w:val="1D1D1D"/>
          <w:u w:val="none"/>
        </w:rPr>
        <w:t xml:space="preserve">, even though the publisher was a nonprofit foundation operating at a loss, the court found commercial use because "Harper's objective is to sell magazines at a profit" </w:t>
      </w:r>
      <w:hyperlink r:id="rId7" w:history="1">
        <w:r>
          <w:pict>
            <v:shape id="_x0000_i1032"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Lish v. Harper's Magazine Foundation, 807 F.Supp. 1090 (1992)</w:t>
        </w:r>
      </w:hyperlink>
      <w:r>
        <w:rPr>
          <w:rFonts w:ascii="Arial" w:eastAsia="Times New Roman" w:hAnsi="Arial" w:cs="Arial"/>
          <w:b w:val="0"/>
          <w:i w:val="0"/>
          <w:strike w:val="0"/>
          <w:color w:val="1D1D1D"/>
          <w:u w:val="none"/>
        </w:rPr>
        <w:t>. However, this analysis focuses on the organization's primary objective rather than secondary effects.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Federal tax law provides additional guidance through the Mayo Clinic litigation, where courts established that "primary purpose" means an organization must have education as a "substantial" rather than "principal or most important" purpose </w:t>
      </w:r>
      <w:hyperlink r:id="rId9" w:history="1">
        <w:r>
          <w:rPr>
            <w:rStyle w:val="Hyperlink"/>
            <w:rFonts w:ascii="Arial" w:eastAsia="Times New Roman" w:hAnsi="Arial" w:cs="Arial"/>
            <w:b w:val="0"/>
            <w:i w:val="0"/>
            <w:strike w:val="0"/>
            <w:color w:val="467886"/>
            <w:u w:val="none"/>
          </w:rPr>
          <w:t>Mayo Clinic v. United States, 145 F.4th 877 (2025)</w:t>
        </w:r>
      </w:hyperlink>
      <w:r>
        <w:rPr>
          <w:rFonts w:ascii="Arial" w:eastAsia="Times New Roman" w:hAnsi="Arial" w:cs="Arial"/>
          <w:b w:val="0"/>
          <w:i w:val="0"/>
          <w:strike w:val="0"/>
          <w:color w:val="1D1D1D"/>
          <w:u w:val="none"/>
        </w:rPr>
        <w:t xml:space="preserve">. An organization can have multiple substantial functions while maintaining educational characterization if non-educational activities remain "merely incidental" to the educational mission </w:t>
      </w:r>
      <w:hyperlink r:id="rId9" w:history="1">
        <w:r>
          <w:rPr>
            <w:rStyle w:val="Hyperlink"/>
            <w:rFonts w:ascii="Arial" w:eastAsia="Times New Roman" w:hAnsi="Arial" w:cs="Arial"/>
            <w:b w:val="0"/>
            <w:i w:val="0"/>
            <w:strike w:val="0"/>
            <w:color w:val="467886"/>
            <w:u w:val="none"/>
          </w:rPr>
          <w:t>Mayo Clinic v. United States, 145 F.4th 877 (2025)</w:t>
        </w:r>
      </w:hyperlink>
      <w:r>
        <w:rPr>
          <w:rFonts w:ascii="Arial" w:eastAsia="Times New Roman" w:hAnsi="Arial" w:cs="Arial"/>
          <w:b w:val="0"/>
          <w:i w:val="0"/>
          <w:strike w:val="0"/>
          <w:color w:val="1D1D1D"/>
          <w:u w:val="none"/>
        </w:rPr>
        <w:t xml:space="preserve">, </w:t>
      </w:r>
      <w:hyperlink r:id="rId10" w:history="1">
        <w:r>
          <w:rPr>
            <w:rStyle w:val="Hyperlink"/>
            <w:rFonts w:ascii="Arial" w:eastAsia="Times New Roman" w:hAnsi="Arial" w:cs="Arial"/>
            <w:b w:val="0"/>
            <w:i w:val="0"/>
            <w:strike w:val="0"/>
            <w:color w:val="467886"/>
            <w:u w:val="none"/>
          </w:rPr>
          <w:t>Mayo Clinic v. United States, 642 F.Supp.3d 831 (2022)</w:t>
        </w:r>
      </w:hyperlink>
      <w:r>
        <w:rPr>
          <w:rFonts w:ascii="Arial" w:eastAsia="Times New Roman" w:hAnsi="Arial" w:cs="Arial"/>
          <w:b w:val="0"/>
          <w:i w:val="0"/>
          <w:strike w:val="0"/>
          <w:color w:val="1D1D1D"/>
          <w:u w:val="none"/>
        </w:rPr>
        <w:t>.</w:t>
        <w:br/>
      </w:r>
    </w:p>
    <w:p>
      <w:pPr>
        <w:pStyle w:val="Heading3"/>
        <w:rPr>
          <w:b w:val="0"/>
          <w:i w:val="0"/>
          <w:strike w:val="0"/>
        </w:rPr>
      </w:pPr>
      <w:r>
        <w:rPr>
          <w:b/>
          <w:u w:val="none"/>
        </w:rPr>
        <w:t>Licensing Below Cost as Protective Factor</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practice of licensing educational materials at or below cost serves as a protective factor supporting educational characterization. Revenue Ruling 71-529 established that organizations providing services "substantially below cost" can qualify for tax-exempt status under Section 501(c)(3) </w:t>
      </w:r>
      <w:hyperlink r:id="rId11" w:history="1">
        <w:r>
          <w:rPr>
            <w:rStyle w:val="Hyperlink"/>
            <w:rFonts w:ascii="Arial" w:eastAsia="Times New Roman" w:hAnsi="Arial" w:cs="Arial"/>
            <w:b w:val="0"/>
            <w:i w:val="0"/>
            <w:strike w:val="0"/>
            <w:color w:val="467886"/>
            <w:u w:val="none"/>
          </w:rPr>
          <w:t>Nonprofits' Ins. Alliance of California v. U.S., 32 Fed.Cl. 277 (1994)</w:t>
        </w:r>
      </w:hyperlink>
      <w:r>
        <w:rPr>
          <w:rFonts w:ascii="Arial" w:eastAsia="Times New Roman" w:hAnsi="Arial" w:cs="Arial"/>
          <w:b w:val="0"/>
          <w:i w:val="0"/>
          <w:strike w:val="0"/>
          <w:color w:val="1D1D1D"/>
          <w:u w:val="none"/>
        </w:rPr>
        <w:t xml:space="preserve">. The Federal Claims Court in </w:t>
      </w:r>
      <w:r>
        <w:rPr>
          <w:rFonts w:ascii="Arial" w:eastAsia="Times New Roman" w:hAnsi="Arial" w:cs="Arial"/>
          <w:b w:val="0"/>
          <w:i/>
          <w:strike w:val="0"/>
          <w:color w:val="1D1D1D"/>
          <w:u w:val="none"/>
        </w:rPr>
        <w:t>Nonprofits' Insurance Alliance of California v. United States</w:t>
      </w:r>
      <w:r>
        <w:rPr>
          <w:rFonts w:ascii="Arial" w:eastAsia="Times New Roman" w:hAnsi="Arial" w:cs="Arial"/>
          <w:b w:val="0"/>
          <w:i w:val="0"/>
          <w:strike w:val="0"/>
          <w:color w:val="1D1D1D"/>
          <w:u w:val="none"/>
        </w:rPr>
        <w:t xml:space="preserve"> confirmed that "the fact an organization conducts a trade or business with an apparently commercial character as its sole activity weighs heavily against exemption," but organizations providing services below cost are distinguishable from purely commercial entities </w:t>
      </w:r>
      <w:hyperlink r:id="rId11" w:history="1">
        <w:r>
          <w:rPr>
            <w:rStyle w:val="Hyperlink"/>
            <w:rFonts w:ascii="Arial" w:eastAsia="Times New Roman" w:hAnsi="Arial" w:cs="Arial"/>
            <w:b w:val="0"/>
            <w:i w:val="0"/>
            <w:strike w:val="0"/>
            <w:color w:val="467886"/>
            <w:u w:val="none"/>
          </w:rPr>
          <w:t>Nonprofits' Ins. Alliance of California v. U.S., 32 Fed.Cl. 277 (1994)</w:t>
        </w:r>
      </w:hyperlink>
      <w:r>
        <w:rPr>
          <w:rFonts w:ascii="Arial" w:eastAsia="Times New Roman" w:hAnsi="Arial" w:cs="Arial"/>
          <w:b w:val="0"/>
          <w:i w:val="0"/>
          <w:strike w:val="0"/>
          <w:color w:val="1D1D1D"/>
          <w:u w:val="none"/>
        </w:rPr>
        <w:t>.</w:t>
        <w:br/>
      </w:r>
    </w:p>
    <w:p>
      <w:pPr>
        <w:pStyle w:val="Heading3"/>
        <w:rPr>
          <w:b w:val="0"/>
          <w:i w:val="0"/>
          <w:strike w:val="0"/>
        </w:rPr>
      </w:pPr>
      <w:r>
        <w:rPr>
          <w:b/>
          <w:u w:val="none"/>
        </w:rPr>
        <w:t>Application to Subsidiary-Parent Relationships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2nd Circuit's analysis in </w:t>
      </w:r>
      <w:r>
        <w:rPr>
          <w:rFonts w:ascii="Arial" w:eastAsia="Times New Roman" w:hAnsi="Arial" w:cs="Arial"/>
          <w:b w:val="0"/>
          <w:i/>
          <w:strike w:val="0"/>
          <w:color w:val="1D1D1D"/>
          <w:u w:val="none"/>
        </w:rPr>
        <w:t>Twin Peaks Productions, Inc. v. Publications International, Ltd.</w:t>
      </w:r>
      <w:r>
        <w:rPr>
          <w:rFonts w:ascii="Arial" w:eastAsia="Times New Roman" w:hAnsi="Arial" w:cs="Arial"/>
          <w:b w:val="0"/>
          <w:i w:val="0"/>
          <w:strike w:val="0"/>
          <w:color w:val="1D1D1D"/>
          <w:u w:val="none"/>
        </w:rPr>
        <w:t xml:space="preserve"> acknowledged that "most publishers of traditional 'educational' works hope to make a profit, and in many cases, including this one, publishers of traditional 'commercial' work have at least the pretense and often the reality of enlightening the public" </w:t>
      </w:r>
      <w:hyperlink r:id="rId12" w:history="1">
        <w:r>
          <w:pict>
            <v:shape id="_x0000_i1033"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3" w:history="1">
        <w:r>
          <w:rPr>
            <w:rStyle w:val="Hyperlink"/>
            <w:rFonts w:ascii="Arial" w:eastAsia="Times New Roman" w:hAnsi="Arial" w:cs="Arial"/>
            <w:b w:val="0"/>
            <w:i w:val="0"/>
            <w:strike w:val="0"/>
            <w:color w:val="467886"/>
            <w:u w:val="none"/>
          </w:rPr>
          <w:t>Twin Peaks Productions, Inc. v. Publications Intern., Ltd., 996 F.2d 1366 (1993)</w:t>
        </w:r>
      </w:hyperlink>
      <w:r>
        <w:rPr>
          <w:rFonts w:ascii="Arial" w:eastAsia="Times New Roman" w:hAnsi="Arial" w:cs="Arial"/>
          <w:b w:val="0"/>
          <w:i w:val="0"/>
          <w:strike w:val="0"/>
          <w:color w:val="1D1D1D"/>
          <w:u w:val="none"/>
        </w:rPr>
        <w:t>. This recognition that educational and commercial elements can coexist supports the principle that subsidiary operations serving legitimate educational purposes do not lose protection merely because they incidentally benefit a parent company.</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key inquiry remains whether the subsidiary's activities are "operated for the primary purpose of carrying on a trade or business which would be an unrelated trade or business if regularly carried on by the parent organization" </w:t>
      </w:r>
      <w:hyperlink r:id="rId14" w:history="1">
        <w:r>
          <w:pict>
            <v:shape id="_x0000_i1034" type="#_x0000_t75" alt="KeyCite Yellow Flag" style="width:16pt;height:16pt">
              <v:imagedata r:id="rId5" o:title=""/>
            </v:shape>
          </w:pict>
        </w:r>
      </w:hyperlink>
      <w:r>
        <w:rPr>
          <w:rFonts w:ascii="Arial" w:eastAsia="Times New Roman" w:hAnsi="Arial" w:cs="Arial"/>
          <w:b w:val="0"/>
          <w:i w:val="0"/>
          <w:strike w:val="0"/>
          <w:color w:val="1D1D1D"/>
          <w:u w:val="none"/>
        </w:rPr>
        <w:t xml:space="preserve"> </w:t>
      </w:r>
      <w:hyperlink r:id="rId15" w:history="1">
        <w:r>
          <w:rPr>
            <w:rStyle w:val="Hyperlink"/>
            <w:rFonts w:ascii="Arial" w:eastAsia="Times New Roman" w:hAnsi="Arial" w:cs="Arial"/>
            <w:b w:val="0"/>
            <w:i w:val="0"/>
            <w:strike w:val="0"/>
            <w:color w:val="467886"/>
            <w:u w:val="none"/>
          </w:rPr>
          <w:t>HCSC-Laundry v. U. S., 450 U.S. 1 (1981)</w:t>
        </w:r>
      </w:hyperlink>
      <w:r>
        <w:rPr>
          <w:rFonts w:ascii="Arial" w:eastAsia="Times New Roman" w:hAnsi="Arial" w:cs="Arial"/>
          <w:b w:val="0"/>
          <w:i w:val="0"/>
          <w:strike w:val="0"/>
          <w:color w:val="1D1D1D"/>
          <w:u w:val="none"/>
        </w:rPr>
        <w:t>. If the subsidiary's educational activities are integral to the parent's exempt purposes and conducted at or below cost, incidental reputational or revenue benefits to the parent do not defeat educational characterization.</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An organization with an additional commercial purpose must establish that the commercial purpose is not primary but merely incidental to its exempt educational purpose. The primary purpose test involves examining whether the organization engages in profit-generating activities using commercial methods and whether the business purpose predominates over the educational one. Even if educational materials are disseminated, charging fees that produce profit and conducting business in a manner typical of commercial enterprises suggests that the educational purpose is not primary. Secondary benefits that further a significant purpose beyond the exempt educational purpose cannot be deemed incidental, particularly if they advance commercial interests or yield substantial private benefit </w:t>
      </w:r>
      <w:hyperlink r:id="rId16" w:history="1">
        <w:r>
          <w:rPr>
            <w:rStyle w:val="Hyperlink"/>
            <w:rFonts w:ascii="Arial" w:eastAsia="Times New Roman" w:hAnsi="Arial" w:cs="Arial"/>
            <w:b w:val="0"/>
            <w:i w:val="0"/>
            <w:strike w:val="0"/>
            <w:color w:val="467886"/>
            <w:u w:val="none"/>
          </w:rPr>
          <w:t>IRS PLR PLR 200523024</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incidental benefit doctrine requires benefits to a private party, including a parent company, to be truly subordinate and inconsequential to the exemption that the nonprofit seeks. Licensing educational content at or below cost does not inherently shield an organization from a commerciality finding if the overall commercial purpose dominates. Courts scrutinize the full context, assessing both direct and indirect benefits and the presence of commercial business methods to determine the primary purpose. This approach underscores the necessity for nonprofit subsidiaries to maintain the predominance of educational objectives without allowing commercial or reputational advantages to influence the characterization under Factor 1 </w:t>
      </w:r>
      <w:hyperlink r:id="rId16" w:history="1">
        <w:r>
          <w:rPr>
            <w:rStyle w:val="Hyperlink"/>
            <w:rFonts w:ascii="Arial" w:eastAsia="Times New Roman" w:hAnsi="Arial" w:cs="Arial"/>
            <w:b w:val="0"/>
            <w:i w:val="0"/>
            <w:strike w:val="0"/>
            <w:color w:val="467886"/>
            <w:u w:val="none"/>
          </w:rPr>
          <w:t>IRS PLR PLR 200523024</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test for determining whether a nonprofit’s primary purpose remains educational rather than commercial under the Copyright Fair Use doctrine and federal tax law focuses on whether the use is primarily for public benefit or for the commercial interests of the user. The First Factor under 17 U.S.C. § 107(1) includes analysis of transformative use as well as the commercial or nonprofit nature of the use. Commercial use is not determinative but can weigh against fair use when it exploits the copyrighted work without paying the customary price. Notably, incidental or indirect commercial or reputational benefit to a related commercial entity does not alone negate nonprofit status if the nonprofit’s use is transformative and directed toward educational purposes. Licensing at or below cost by the nonprofit subsidiary strongly indicates a noncommercial purpose and can insulate against finding commerciality </w:t>
      </w:r>
      <w:hyperlink r:id="rId17" w:history="1">
        <w:r>
          <w:rPr>
            <w:rStyle w:val="Hyperlink"/>
            <w:rFonts w:ascii="Arial" w:eastAsia="Times New Roman" w:hAnsi="Arial" w:cs="Arial"/>
            <w:b w:val="0"/>
            <w:i w:val="0"/>
            <w:strike w:val="0"/>
            <w:color w:val="467886"/>
            <w:u w:val="none"/>
          </w:rPr>
          <w:t>ARTARCHLAW § 7:79</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For federal tax-exempt status under § 501(c)(3), the organization must be operated exclusively or primarily for exempt purposes; more than an insubstantial commercial activity or substantial private benefit can defeat exempt status. The “exclusively” standard is interpreted as “primarily.” A nonprofit subsidiary whose educational materials incidentally benefit its parent’s reputation or revenue may pass if the primary activities are educational and the commercial benefits are not substantial. Charging at or below cost supports a charitable rather than a commercial purpose. However, if the nonprofit’s activities substantially further private interests or compete with commercial enterprises, its exempt status may be jeopardized </w:t>
      </w:r>
      <w:hyperlink r:id="rId18" w:history="1">
        <w:r>
          <w:rPr>
            <w:rStyle w:val="Hyperlink"/>
            <w:rFonts w:ascii="Arial" w:eastAsia="Times New Roman" w:hAnsi="Arial" w:cs="Arial"/>
            <w:b w:val="0"/>
            <w:i w:val="0"/>
            <w:strike w:val="0"/>
            <w:color w:val="467886"/>
            <w:u w:val="none"/>
          </w:rPr>
          <w:t>MERTENS § 34:7</w:t>
        </w:r>
      </w:hyperlink>
      <w:r>
        <w:rPr>
          <w:rFonts w:ascii="Arial" w:eastAsia="Times New Roman" w:hAnsi="Arial" w:cs="Arial"/>
          <w:b w:val="0"/>
          <w:i w:val="0"/>
          <w:strike w:val="0"/>
          <w:color w:val="1D1D1D"/>
          <w:u w:val="none"/>
        </w:rPr>
        <w:t xml:space="preserve">, </w:t>
      </w:r>
      <w:hyperlink r:id="rId19" w:history="1">
        <w:r>
          <w:rPr>
            <w:rStyle w:val="Hyperlink"/>
            <w:rFonts w:ascii="Arial" w:eastAsia="Times New Roman" w:hAnsi="Arial" w:cs="Arial"/>
            <w:b w:val="0"/>
            <w:i w:val="0"/>
            <w:strike w:val="0"/>
            <w:color w:val="467886"/>
            <w:u w:val="none"/>
          </w:rPr>
          <w:t>NPOLT § 7:5</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Current Awareness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JD Supra reports that in Hachette Book Group Inc. v. Internet Archive, Case No. 23-1260 (2d Cir. Sept. 4, 2024), the Second Circuit weighed the first fair use factor and determined the use was noncommercial based on nonprofit status and free distribution, finding that solicitation of donations and association with platforms where users could purchase books did not render the use commercial. This provides Second Circuit guidance that incidental fundraising or commercial associations do not, by themselves, defeat nonprofit educational characterization under Factor 1 when the primary purpose is nonprofit dissemination, which is relevant to evaluating nonprofit subsidiaries whose educational materials may incidentally benefit a parent’s reputation or revenue. </w:t>
      </w:r>
      <w:hyperlink r:id="rId20" w:history="1">
        <w:r>
          <w:rPr>
            <w:rStyle w:val="Hyperlink"/>
            <w:rFonts w:ascii="Arial" w:eastAsia="Times New Roman" w:hAnsi="Arial" w:cs="Arial"/>
            <w:b w:val="0"/>
            <w:i w:val="0"/>
            <w:strike w:val="0"/>
            <w:color w:val="467886"/>
            <w:u w:val="none"/>
          </w:rPr>
          <w:t>'Even Free Libraries Come With a Cost', by Anisa Noorassa, McDermott Will &amp; Emery, Published By JD Supra</w:t>
        </w:r>
      </w:hyperlink>
      <w:r>
        <w:rPr>
          <w:rFonts w:ascii="Arial" w:eastAsia="Times New Roman" w:hAnsi="Arial" w:cs="Arial"/>
          <w:b w:val="0"/>
          <w:i w:val="0"/>
          <w:strike w:val="0"/>
          <w:color w:val="1D1D1D"/>
          <w:u w:val="none"/>
        </w:rPr>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5"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15</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hyperlink r:id="rId4" w:history="1">
        <w:r>
          <w:pict>
            <v:shape id="_x0000_i1036" type="#_x0000_t75" alt="KeyCite Yellow Flag" style="width:16pt;height:16pt">
              <v:imagedata r:id="rId5" o:title=""/>
            </v:shape>
          </w:pict>
        </w:r>
      </w:hyperlink>
      <w:r>
        <w:t xml:space="preserve"> </w:t>
      </w:r>
      <w:hyperlink r:id="rId6" w:history="1">
        <w:r>
          <w:rPr>
            <w:rStyle w:val="Hyperlink"/>
            <w:b/>
            <w:i w:val="0"/>
            <w:strike w:val="0"/>
            <w:color w:val="467886"/>
            <w:u w:val="single"/>
          </w:rPr>
          <w:t>Hachette Book Group, Inc. v. Internet Archive</w:t>
        </w:r>
      </w:hyperlink>
    </w:p>
    <w:p w:rsidR="000911FB" w:rsidRPr="00C67A9D" w:rsidP="000911FB" w14:paraId="778AA143"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September 04, 2024</w:t>
      </w:r>
      <w:r w:rsidRPr="00C67A9D">
        <w:rPr>
          <w:b w:val="0"/>
          <w:bCs w:val="0"/>
        </w:rPr>
        <w:t xml:space="preserve">   •   </w:t>
      </w:r>
      <w:r>
        <w:rPr>
          <w:b/>
          <w:i w:val="0"/>
          <w:strike w:val="0"/>
        </w:rPr>
        <w:t>115 F.4th 163</w:t>
      </w:r>
      <w:r w:rsidRPr="00C67A9D">
        <w:rPr>
          <w:b w:val="0"/>
          <w:bCs w:val="0"/>
        </w:rPr>
        <w:t xml:space="preserve">   •   </w:t>
      </w:r>
      <w:r>
        <w:rPr>
          <w:b/>
          <w:i w:val="0"/>
          <w:strike w:val="0"/>
        </w:rPr>
        <w:t>2024 WL 4031751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general reputational benefits from nonprofit activities do not constitute commercial use under Factor 1 analysis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 xml:space="preserve">...“The crux of the profit/nonprofit distinction,” then, “is not whether the sole motive of the use is monetary gain[,] but whether the user stands to profit from exploitation of the copyrighted material without paying the customary price.” </w:t>
            </w:r>
            <w:r>
              <w:rPr>
                <w:rFonts w:ascii="Arial" w:eastAsia="Times New Roman" w:hAnsi="Arial" w:cs="Arial"/>
                <w:b w:val="0"/>
                <w:i/>
                <w:strike w:val="0"/>
                <w:color w:val="1D1D1D"/>
              </w:rPr>
              <w:t>Harper &amp; Row</w:t>
            </w:r>
            <w:r>
              <w:rPr>
                <w:rFonts w:ascii="Arial" w:eastAsia="Times New Roman" w:hAnsi="Arial" w:cs="Arial"/>
                <w:b w:val="0"/>
                <w:i w:val="0"/>
                <w:strike w:val="0"/>
                <w:color w:val="1D1D1D"/>
              </w:rPr>
              <w:t>, 471 U.S. at 562, 105 S.Ct. 2218....</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...In this context, however, IA does not stand to gain the direct reputational benefits that accompany presenting another's work as one's own. Rather, it obtains only those nonmonetary benefits that attend most other legitimate, secondary uses, including advancing its mission and bolstering its reputation. Characterizing these general benefits as commercial profits would render commercial the activities of virtually any nonprofit organization that bolsters its reputation through its own nonprofit activities....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7" w:history="1">
        <w:r>
          <w:pict>
            <v:shape id="_x0000_i1037" type="#_x0000_t75" alt="KeyCite Yellow Flag" style="width:16pt;height:16pt">
              <v:imagedata r:id="rId5" o:title=""/>
            </v:shape>
          </w:pict>
        </w:r>
      </w:hyperlink>
      <w:r>
        <w:t xml:space="preserve"> </w:t>
      </w:r>
      <w:hyperlink r:id="rId8" w:history="1">
        <w:r>
          <w:rPr>
            <w:rStyle w:val="Hyperlink"/>
            <w:b/>
            <w:i w:val="0"/>
            <w:strike w:val="0"/>
            <w:color w:val="467886"/>
            <w:u w:val="single"/>
          </w:rPr>
          <w:t>Lish v. Harper's Magazine Foundation</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November 24, 1992</w:t>
      </w:r>
      <w:r w:rsidRPr="00C67A9D">
        <w:rPr>
          <w:b w:val="0"/>
          <w:bCs w:val="0"/>
        </w:rPr>
        <w:t xml:space="preserve">   •   </w:t>
      </w:r>
      <w:r>
        <w:rPr>
          <w:b/>
          <w:i w:val="0"/>
          <w:strike w:val="0"/>
        </w:rPr>
        <w:t>807 F.Supp. 1090</w:t>
      </w:r>
      <w:r w:rsidRPr="00C67A9D">
        <w:rPr>
          <w:b w:val="0"/>
          <w:bCs w:val="0"/>
        </w:rPr>
        <w:t xml:space="preserve">   •   </w:t>
      </w:r>
      <w:r>
        <w:rPr>
          <w:b/>
          <w:i w:val="0"/>
          <w:strike w:val="0"/>
        </w:rPr>
        <w:t>1992 WL 346992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nonprofit status does not automatically preclude commercial use finding when primary objective is profit-making</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...Magazine's publication of 1,206 words amounting to 52% of fiction writer's copyrighted letter to his prospective students was more than necessary to fairly and accurately report factual information concerning character or teaching style as distinct from manner of expression, and, thus, publication was commercial thus weighing against magazine's claim of fair use, even though magazine was owned by nonprofit foundation and operated at loss; magazine's objective was to sell magazines at profit. 17 U.S.C.A. S 107....</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9" w:history="1">
        <w:r>
          <w:rPr>
            <w:rStyle w:val="Hyperlink"/>
            <w:b/>
            <w:i w:val="0"/>
            <w:strike w:val="0"/>
            <w:color w:val="467886"/>
            <w:u w:val="single"/>
          </w:rPr>
          <w:t>Mayo Clinic v. United States</w:t>
        </w:r>
      </w:hyperlink>
    </w:p>
    <w:p w:rsidR="000911FB" w:rsidRPr="00C67A9D" w:rsidP="000911FB" w14:textId="43CA2655">
      <w:pPr>
        <w:pStyle w:val="Report-Metadata"/>
        <w:rPr>
          <w:b w:val="0"/>
          <w:bCs w:val="0"/>
        </w:rPr>
      </w:pPr>
      <w:r>
        <w:rPr>
          <w:b/>
          <w:i w:val="0"/>
          <w:strike w:val="0"/>
        </w:rPr>
        <w:t>United States Court of Appeals, Eighth Circuit.</w:t>
      </w:r>
      <w:r w:rsidRPr="00C67A9D">
        <w:rPr>
          <w:b w:val="0"/>
          <w:bCs w:val="0"/>
        </w:rPr>
        <w:t xml:space="preserve">   •   </w:t>
      </w:r>
      <w:r>
        <w:rPr>
          <w:b/>
          <w:i w:val="0"/>
          <w:strike w:val="0"/>
        </w:rPr>
        <w:t>July 25, 2025</w:t>
      </w:r>
      <w:r w:rsidRPr="00C67A9D">
        <w:rPr>
          <w:b w:val="0"/>
          <w:bCs w:val="0"/>
        </w:rPr>
        <w:t xml:space="preserve">   •   </w:t>
      </w:r>
      <w:r>
        <w:rPr>
          <w:b/>
          <w:i w:val="0"/>
          <w:strike w:val="0"/>
        </w:rPr>
        <w:t>145 F.4th 877</w:t>
      </w:r>
      <w:r w:rsidRPr="00C67A9D">
        <w:rPr>
          <w:b w:val="0"/>
          <w:bCs w:val="0"/>
        </w:rPr>
        <w:t xml:space="preserve">   •   </w:t>
      </w:r>
      <w:r>
        <w:rPr>
          <w:b/>
          <w:i w:val="0"/>
          <w:strike w:val="0"/>
        </w:rPr>
        <w:t>2025 WL 2091047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Defining "primary purpose" as requiring substantial rather than principal educational function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...Term "primary," as used in Internal Revenue Code provision requiring that a qualifying organization's primary purpose be educational, and that its noneducational activities be merely incidental to that primary purpose, in order to claim exemption from unrelated business income tax (UBIT) for acquisition indebtedness of debt-financed property held to produce income, meant that education had to be organization's "substantial" position, rather than "principal or most important" purpose, despite contention that interpretation disregarded limitation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10" w:history="1">
        <w:r>
          <w:rPr>
            <w:rStyle w:val="Hyperlink"/>
            <w:b/>
            <w:i w:val="0"/>
            <w:strike w:val="0"/>
            <w:color w:val="467886"/>
            <w:u w:val="single"/>
          </w:rPr>
          <w:t>Mayo Clinic v. United States</w:t>
        </w:r>
      </w:hyperlink>
    </w:p>
    <w:p w:rsidR="000911FB" w:rsidRPr="00C67A9D" w:rsidP="000911FB" w14:textId="43CA2655">
      <w:pPr>
        <w:pStyle w:val="Report-Metadata"/>
        <w:rPr>
          <w:b w:val="0"/>
          <w:bCs w:val="0"/>
        </w:rPr>
      </w:pPr>
      <w:r>
        <w:rPr>
          <w:b/>
          <w:i w:val="0"/>
          <w:strike w:val="0"/>
        </w:rPr>
        <w:t>United States District Court, D. Minnesota.</w:t>
      </w:r>
      <w:r w:rsidRPr="00C67A9D">
        <w:rPr>
          <w:b w:val="0"/>
          <w:bCs w:val="0"/>
        </w:rPr>
        <w:t xml:space="preserve">   •   </w:t>
      </w:r>
      <w:r>
        <w:rPr>
          <w:b/>
          <w:i w:val="0"/>
          <w:strike w:val="0"/>
        </w:rPr>
        <w:t>November 22, 2022</w:t>
      </w:r>
      <w:r w:rsidRPr="00C67A9D">
        <w:rPr>
          <w:b w:val="0"/>
          <w:bCs w:val="0"/>
        </w:rPr>
        <w:t xml:space="preserve">   •   </w:t>
      </w:r>
      <w:r>
        <w:rPr>
          <w:b/>
          <w:i w:val="0"/>
          <w:strike w:val="0"/>
        </w:rPr>
        <w:t>642 F.Supp.3d 831</w:t>
      </w:r>
      <w:r w:rsidRPr="00C67A9D">
        <w:rPr>
          <w:b w:val="0"/>
          <w:bCs w:val="0"/>
        </w:rPr>
        <w:t xml:space="preserve">   •   </w:t>
      </w:r>
      <w:r>
        <w:rPr>
          <w:b/>
          <w:i w:val="0"/>
          <w:strike w:val="0"/>
        </w:rPr>
        <w:t>2022 WL 17103262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that activities furthering both educational and non-educational purposes can remain exclusively educational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1" w:history="1">
        <w:r>
          <w:rPr>
            <w:rStyle w:val="Hyperlink"/>
            <w:b/>
            <w:i w:val="0"/>
            <w:strike w:val="0"/>
            <w:color w:val="467886"/>
            <w:u w:val="single"/>
          </w:rPr>
          <w:t>Nonprofits' Ins. Alliance of California v. U.S.</w:t>
        </w:r>
      </w:hyperlink>
    </w:p>
    <w:p w:rsidR="000911FB" w:rsidRPr="00C67A9D" w:rsidP="000911FB" w14:textId="43CA2655">
      <w:pPr>
        <w:pStyle w:val="Report-Metadata"/>
        <w:rPr>
          <w:b w:val="0"/>
          <w:bCs w:val="0"/>
        </w:rPr>
      </w:pPr>
      <w:r>
        <w:rPr>
          <w:b/>
          <w:i w:val="0"/>
          <w:strike w:val="0"/>
        </w:rPr>
        <w:t>United States Court of Federal Claims.</w:t>
      </w:r>
      <w:r w:rsidRPr="00C67A9D">
        <w:rPr>
          <w:b w:val="0"/>
          <w:bCs w:val="0"/>
        </w:rPr>
        <w:t xml:space="preserve">   •   </w:t>
      </w:r>
      <w:r>
        <w:rPr>
          <w:b/>
          <w:i w:val="0"/>
          <w:strike w:val="0"/>
        </w:rPr>
        <w:t>November 10, 1994</w:t>
      </w:r>
      <w:r w:rsidRPr="00C67A9D">
        <w:rPr>
          <w:b w:val="0"/>
          <w:bCs w:val="0"/>
        </w:rPr>
        <w:t xml:space="preserve">   •   </w:t>
      </w:r>
      <w:r>
        <w:rPr>
          <w:b/>
          <w:i w:val="0"/>
          <w:strike w:val="0"/>
        </w:rPr>
        <w:t>32 Fed.Cl. 277</w:t>
      </w:r>
      <w:r w:rsidRPr="00C67A9D">
        <w:rPr>
          <w:b w:val="0"/>
          <w:bCs w:val="0"/>
        </w:rPr>
        <w:t xml:space="preserve">   •   </w:t>
      </w:r>
      <w:r>
        <w:rPr>
          <w:b/>
          <w:i w:val="0"/>
          <w:strike w:val="0"/>
        </w:rPr>
        <w:t>1994 WL 623063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Analyzing factors for determining commercial purpose including below-cost service provision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...2. Tax-exempt status under I.R.C. S 501(c)(3). An implicit circularity is present with respect to the "substantially below cost" analysis required by I.R.C. S 501(m) (3)(A) and the "below cost" analysis necessitated by I.R.C. S 501(c)(3). See Rev.Rul. 71-529, 1971-2 C.B. 234 (ruling that organization qualified as exempt under section 501(c)(3) because it provided services substantially below cost). This circularity forms the basis of the court's concern regarding the statutory language in I.R.C. S 501(m), which appears to direct analysis under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hyperlink r:id="rId12" w:history="1">
        <w:r>
          <w:pict>
            <v:shape id="_x0000_i1038" type="#_x0000_t75" alt="KeyCite Yellow Flag" style="width:16pt;height:16pt">
              <v:imagedata r:id="rId5" o:title=""/>
            </v:shape>
          </w:pict>
        </w:r>
      </w:hyperlink>
      <w:r>
        <w:t xml:space="preserve"> </w:t>
      </w:r>
      <w:hyperlink r:id="rId13" w:history="1">
        <w:r>
          <w:rPr>
            <w:rStyle w:val="Hyperlink"/>
            <w:b/>
            <w:i w:val="0"/>
            <w:strike w:val="0"/>
            <w:color w:val="467886"/>
            <w:u w:val="single"/>
          </w:rPr>
          <w:t>Twin Peaks Productions, Inc. v. Publications Intern., Ltd.</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June 07, 1993</w:t>
      </w:r>
      <w:r w:rsidRPr="00C67A9D">
        <w:rPr>
          <w:b w:val="0"/>
          <w:bCs w:val="0"/>
        </w:rPr>
        <w:t xml:space="preserve">   •   </w:t>
      </w:r>
      <w:r>
        <w:rPr>
          <w:b/>
          <w:i w:val="0"/>
          <w:strike w:val="0"/>
        </w:rPr>
        <w:t>996 F.2d 1366</w:t>
      </w:r>
      <w:r w:rsidRPr="00C67A9D">
        <w:rPr>
          <w:b w:val="0"/>
          <w:bCs w:val="0"/>
        </w:rPr>
        <w:t xml:space="preserve">   •   </w:t>
      </w:r>
      <w:r>
        <w:rPr>
          <w:b/>
          <w:i w:val="0"/>
          <w:strike w:val="0"/>
        </w:rPr>
        <w:t>1993 WL 194301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Recognizing that commercial publishers can serve legitimate educational purposes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 Fair use. The statutory language of the first factor plainly assigns a higher value to a use that serves "nonprofit educational purposes" than to one of a "commercial nature." Yet we do not think that an author's commercial purpose in writing a book precludes a finding that his particular use of a prior author's protected expression serves a purpose that weighs favorably on the fair use scales. Most publishers of traditional "educational" works hope to make a profit, and in many cases, including this one, publishers of traditional "commercial"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hyperlink r:id="rId14" w:history="1">
        <w:r>
          <w:pict>
            <v:shape id="_x0000_i1039" type="#_x0000_t75" alt="KeyCite Yellow Flag" style="width:16pt;height:16pt">
              <v:imagedata r:id="rId5" o:title=""/>
            </v:shape>
          </w:pict>
        </w:r>
      </w:hyperlink>
      <w:r>
        <w:t xml:space="preserve"> </w:t>
      </w:r>
      <w:hyperlink r:id="rId15" w:history="1">
        <w:r>
          <w:rPr>
            <w:rStyle w:val="Hyperlink"/>
            <w:b/>
            <w:i w:val="0"/>
            <w:strike w:val="0"/>
            <w:color w:val="467886"/>
            <w:u w:val="single"/>
          </w:rPr>
          <w:t>HCSC-Laundry v. U. S.</w:t>
        </w:r>
      </w:hyperlink>
    </w:p>
    <w:p w:rsidR="000911FB" w:rsidRPr="00C67A9D" w:rsidP="000911FB"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February 23, 1981</w:t>
      </w:r>
      <w:r w:rsidRPr="00C67A9D">
        <w:rPr>
          <w:b w:val="0"/>
          <w:bCs w:val="0"/>
        </w:rPr>
        <w:t xml:space="preserve">   •   </w:t>
      </w:r>
      <w:r>
        <w:rPr>
          <w:b/>
          <w:i w:val="0"/>
          <w:strike w:val="0"/>
        </w:rPr>
        <w:t>450 U.S. 1</w:t>
      </w:r>
      <w:r w:rsidRPr="00C67A9D">
        <w:rPr>
          <w:b w:val="0"/>
          <w:bCs w:val="0"/>
        </w:rPr>
        <w:t xml:space="preserve">   •   </w:t>
      </w:r>
      <w:r>
        <w:rPr>
          <w:b/>
          <w:i w:val="0"/>
          <w:strike w:val="0"/>
        </w:rPr>
        <w:t>101 S.Ct. 836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Providing guidance on subsidiary organization exemption standards in relation to parent organization activities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6" w:history="1">
        <w:r>
          <w:rPr>
            <w:rStyle w:val="Hyperlink"/>
            <w:b/>
            <w:i w:val="0"/>
            <w:strike w:val="0"/>
            <w:color w:val="467886"/>
            <w:u w:val="single"/>
          </w:rPr>
          <w:t>Private Letter Ruling</w:t>
        </w:r>
      </w:hyperlink>
    </w:p>
    <w:p w:rsidR="000911FB" w:rsidRPr="00C67A9D" w:rsidP="000911FB" w14:textId="43CA2655">
      <w:pPr>
        <w:pStyle w:val="Report-Metadata"/>
        <w:rPr>
          <w:b w:val="0"/>
          <w:bCs w:val="0"/>
        </w:rPr>
      </w:pPr>
      <w:r>
        <w:rPr>
          <w:b/>
          <w:i w:val="0"/>
          <w:strike w:val="0"/>
        </w:rPr>
        <w:t>IRS PLR</w:t>
      </w:r>
      <w:r w:rsidRPr="00C67A9D">
        <w:rPr>
          <w:b w:val="0"/>
          <w:bCs w:val="0"/>
        </w:rPr>
        <w:t xml:space="preserve">   •   </w:t>
      </w:r>
      <w:r>
        <w:rPr>
          <w:b/>
          <w:i w:val="0"/>
          <w:strike w:val="0"/>
        </w:rPr>
        <w:t>June 10, 2005</w:t>
      </w:r>
      <w:r w:rsidRPr="00C67A9D">
        <w:rPr>
          <w:b w:val="0"/>
          <w:bCs w:val="0"/>
        </w:rPr>
        <w:t xml:space="preserve">   •   </w:t>
      </w:r>
      <w:r>
        <w:rPr>
          <w:b/>
          <w:i w:val="0"/>
          <w:strike w:val="0"/>
        </w:rPr>
        <w:t>PLR 200523024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...When an organization has an additional commercial purpose, it must demonstrate that the commercial purpose is not primary, but merely “incidental to the exempt purpose.” American Institute for Economic Research , supra. In that case, the court assumed that the organization's publication of materials concerning economic issues and individual securities was an educational activity. However, the organization had an additional, significant commercial purpose. The court found evidence that the organization charged fees for the materials that earned</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...When an organization has an additional commercial purpose, it must demonstrate that the commercial purpose is not primary, but merely “incidental to the exempt purpose.” American Institute for Economic Research , supra. In that case, the court assumed that the organization's publication of materials concerning economic issues and individual securities was an educational activity. However, the organization had an additional, significant commercial purpose. The court found evidence that the organization charged fees for the materials that earned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7" w:history="1">
        <w:r>
          <w:rPr>
            <w:rStyle w:val="Hyperlink"/>
            <w:b/>
            <w:i w:val="0"/>
            <w:strike w:val="0"/>
            <w:color w:val="467886"/>
            <w:u w:val="single"/>
          </w:rPr>
          <w:t>§ 7:79. Copyright—Fair use Purpose and Character—Commercial or nonprofit educational purpose—First factor—17 U.S.C.A. § 107(1)</w:t>
        </w:r>
      </w:hyperlink>
    </w:p>
    <w:p w:rsidR="000911FB" w:rsidRPr="00C67A9D" w:rsidP="000911FB" w14:textId="43CA2655">
      <w:pPr>
        <w:pStyle w:val="Report-Metadata"/>
        <w:rPr>
          <w:b w:val="0"/>
          <w:bCs w:val="0"/>
        </w:rPr>
      </w:pPr>
      <w:r>
        <w:rPr>
          <w:b/>
          <w:i w:val="0"/>
          <w:strike w:val="0"/>
        </w:rPr>
        <w:t>Darraby on Art Law</w:t>
      </w:r>
      <w:r w:rsidRPr="00C67A9D">
        <w:rPr>
          <w:b w:val="0"/>
          <w:bCs w:val="0"/>
        </w:rPr>
        <w:t xml:space="preserve">   •   </w:t>
      </w:r>
      <w:r>
        <w:rPr>
          <w:b/>
          <w:i w:val="0"/>
          <w:strike w:val="0"/>
        </w:rPr>
        <w:t>ARTARCHLAW § 7:79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4</w:t>
            </w:r>
            <w:r>
              <w:rPr>
                <w:rFonts w:ascii="Arial" w:eastAsia="Times New Roman" w:hAnsi="Arial" w:cs="Arial"/>
                <w:b w:val="0"/>
                <w:i w:val="0"/>
                <w:strike w:val="0"/>
                <w:color w:val="1D1D1D"/>
              </w:rPr>
              <w:br/>
              <w:t>...Campbell v. Acuff-Rose Music, Inc., 510 U.S. 569, 577, 114 S. Ct. 1164, 127 L. Ed. 2 d 500, 22 Media L. Rep. (BNA) 1353, 29 U.S.P.Q.2 d 1961 (1994) (“the mere fact that a use is educational and not for profit does not insulate it from a finding of infringement, any more than the commercial character of a use bars a finding of fairness”); Authors Guild v. Google, Inc., 804 F.3 d 202, 218, 43 Media L. Rep. (BNA) 2981, 116 U.S.P.Q.2 d 1423 (2 d Cir. 2015) (in reversing the Sixth Circuit conclusion that a rap music spoof of Pretty Woman was not</w:t>
              <w:br/>
              <w:br/>
            </w:r>
            <w:r>
              <w:rPr>
                <w:rFonts w:ascii="Arial" w:eastAsia="Times New Roman" w:hAnsi="Arial" w:cs="Arial"/>
                <w:b/>
                <w:i w:val="0"/>
                <w:strike w:val="0"/>
                <w:color w:val="1D1D1D"/>
              </w:rPr>
              <w:t>Supporting section 2 of 4</w:t>
            </w:r>
            <w:r>
              <w:rPr>
                <w:rFonts w:ascii="Arial" w:eastAsia="Times New Roman" w:hAnsi="Arial" w:cs="Arial"/>
                <w:b w:val="0"/>
                <w:i w:val="0"/>
                <w:strike w:val="0"/>
                <w:color w:val="1D1D1D"/>
              </w:rPr>
              <w:br/>
              <w:t>...Courts examine whether the copyrighted work was copied “in good faith to benefit the public or primarily for the commercial interests of the infringer.”[4] Commercial use in the absence of transformation is a “factor that tends to weigh against a finding of fair use” because of the exploitation of the work without paying the price. The Supreme Court explained “‘the crux of the profit/nonprofit distinction is not whether the sole motive of the use is monetary gain but whether the user stands to profit from exploitation of the copyrighted material</w:t>
              <w:br/>
              <w:br/>
            </w:r>
            <w:r>
              <w:rPr>
                <w:rFonts w:ascii="Arial" w:eastAsia="Times New Roman" w:hAnsi="Arial" w:cs="Arial"/>
                <w:b/>
                <w:i w:val="0"/>
                <w:strike w:val="0"/>
                <w:color w:val="1D1D1D"/>
              </w:rPr>
              <w:t>Supporting section 3 of 4</w:t>
            </w:r>
            <w:r>
              <w:rPr>
                <w:rFonts w:ascii="Arial" w:eastAsia="Times New Roman" w:hAnsi="Arial" w:cs="Arial"/>
                <w:b w:val="0"/>
                <w:i w:val="0"/>
                <w:strike w:val="0"/>
                <w:color w:val="1D1D1D"/>
              </w:rPr>
              <w:br/>
              <w:t>...Commerciality inquiries traditionally focused on economic incentives and remuneration, bottom-line motivations and monetary returns, such as the copier's profits, price disparities between the underlying work and the copied work, and other quantifiable factors.[6] Neither profit motive nor monetary gain, however, establishes commerciality. A per se concept is at odds with a malleable weighing of factors urged by the United States Supreme Court.[7] Conversely, nonprofit educational use is not converted into commercial use because the user makes</w:t>
              <w:br/>
              <w:br/>
            </w:r>
            <w:r>
              <w:rPr>
                <w:rFonts w:ascii="Arial" w:eastAsia="Times New Roman" w:hAnsi="Arial" w:cs="Arial"/>
                <w:b/>
                <w:i w:val="0"/>
                <w:strike w:val="0"/>
                <w:color w:val="1D1D1D"/>
              </w:rPr>
              <w:t>Supporting section 4 of 4</w:t>
            </w:r>
            <w:r>
              <w:rPr>
                <w:rFonts w:ascii="Arial" w:eastAsia="Times New Roman" w:hAnsi="Arial" w:cs="Arial"/>
                <w:b w:val="0"/>
                <w:i w:val="0"/>
                <w:strike w:val="0"/>
                <w:color w:val="1D1D1D"/>
              </w:rPr>
              <w:br/>
              <w:t>...The Section 107(1) first factor of purpose and character of use is parsed by courts into transformative use as well as commercial or non-profit purposes, the latter which is not an either-or dichotomy, and the former which the Court has recalibrated by limiting scope of transformation and adjusting the timing of when it applies. Courts have made clear that the choice between first factor commercial and nonprofit uses is not bipolar. Commercial use is not dispositive.[2] The commercial nature is an additional element of use, not a dispositive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18" w:history="1">
        <w:r>
          <w:rPr>
            <w:rStyle w:val="Hyperlink"/>
            <w:b/>
            <w:i w:val="0"/>
            <w:strike w:val="0"/>
            <w:color w:val="467886"/>
            <w:u w:val="single"/>
          </w:rPr>
          <w:t>§ 34:7. Operated exclusively for charitable purpose</w:t>
        </w:r>
      </w:hyperlink>
    </w:p>
    <w:p w:rsidR="000911FB" w:rsidRPr="00C67A9D" w:rsidP="000911FB" w14:textId="43CA2655">
      <w:pPr>
        <w:pStyle w:val="Report-Metadata"/>
        <w:rPr>
          <w:b w:val="0"/>
          <w:bCs w:val="0"/>
        </w:rPr>
      </w:pPr>
      <w:r>
        <w:rPr>
          <w:b/>
          <w:i w:val="0"/>
          <w:strike w:val="0"/>
        </w:rPr>
        <w:t>Mertens Law of Federal Income Taxation</w:t>
      </w:r>
      <w:r w:rsidRPr="00C67A9D">
        <w:rPr>
          <w:b w:val="0"/>
          <w:bCs w:val="0"/>
        </w:rPr>
        <w:t xml:space="preserve">   •   </w:t>
      </w:r>
      <w:r>
        <w:rPr>
          <w:b/>
          <w:i w:val="0"/>
          <w:strike w:val="0"/>
        </w:rPr>
        <w:t>MERTENS § 34:7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...One troublesome aspect of the term “exclusively” emerges when it is necessary to determine whether a particular trade or business is being carried on for an exempt purpose or whether it is devoted to a commercial enterprise. As interpreted by the Supreme Court, “exclusively … plainly means that the presence of a single [non-exempt] purpose, if substantial in nature, will destroy the exemption regardless of the number or importance of truly [exempt] purposes.”[20]...</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...An otherwise exempt organization formed for the purpose of disseminating scientific knowledge as cheaply as possible does not lose its exempt status if, to further its exempt purposes, it subsidizes an unrelated commercial organization engaged in the publishing business.[17] An organization is not exempt from tax if its sole activity is the publication and public sale of a magazine, unless there is no showing that the operations fulfill a corporate role that in and of itself is exclusively charitable, scientific, literary or educational.[18]</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11</w:t>
      </w:r>
      <w:r w:rsidRPr="00755B14">
        <w:rPr>
          <w:b/>
          <w:bCs/>
        </w:rPr>
        <w:t>.</w:t>
      </w:r>
      <w:r>
        <w:t xml:space="preserve"> </w:t>
      </w:r>
      <w:r>
        <w:t xml:space="preserve"> </w:t>
      </w:r>
      <w:hyperlink r:id="rId19" w:history="1">
        <w:r>
          <w:rPr>
            <w:rStyle w:val="Hyperlink"/>
            <w:b/>
            <w:i w:val="0"/>
            <w:strike w:val="0"/>
            <w:color w:val="467886"/>
            <w:u w:val="single"/>
          </w:rPr>
          <w:t>§ 7:5. Charitable organizations</w:t>
        </w:r>
      </w:hyperlink>
    </w:p>
    <w:p w:rsidR="000911FB" w:rsidRPr="00C67A9D" w:rsidP="000911FB" w14:textId="43CA2655">
      <w:pPr>
        <w:pStyle w:val="Report-Metadata"/>
        <w:rPr>
          <w:b w:val="0"/>
          <w:bCs w:val="0"/>
        </w:rPr>
      </w:pPr>
      <w:r>
        <w:rPr>
          <w:b/>
          <w:i w:val="0"/>
          <w:strike w:val="0"/>
        </w:rPr>
        <w:t>Nonprofit Organizations: Law and Taxation</w:t>
      </w:r>
      <w:r w:rsidRPr="00C67A9D">
        <w:rPr>
          <w:b w:val="0"/>
          <w:bCs w:val="0"/>
        </w:rPr>
        <w:t xml:space="preserve">   •   </w:t>
      </w:r>
      <w:r>
        <w:rPr>
          <w:b/>
          <w:i w:val="0"/>
          <w:strike w:val="0"/>
        </w:rPr>
        <w:t>NPOLT § 7:5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...In Priv. Ltr. Rul. 202041007, the Service ruled a nonprofit corporation that was formed by the founder of a for-profit LLC and that would operate with the for-profit, did not qualify for § 501(c)(3) status. The Service determined the organization's activities would substantially benefit the LLC and ruled the organization served a private rather than a public interest. It noted the organization was dependent on the for-profit entity and stated that a single non-exempt purpose will destroy exemption regardless of the number or importance of truly</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...In Priv. Ltr. Rul. 201218016, the Service ruled a mutual not-for-profit insurance company that planned to enter into arrangements for the provision of insurance of various liability risks for not-for-profit community healthcare clinics did not qualify for § 501(c)(3) status. The organization's objective was to provide a quality, affordable, and stable insurance provider of medical malpractice and general liability coverage to community clinic members. The Service decided the organization's primary purpose of being a risk retention captive insurance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12</w:t>
      </w:r>
      <w:r w:rsidRPr="00755B14">
        <w:rPr>
          <w:b/>
          <w:bCs/>
        </w:rPr>
        <w:t>.</w:t>
      </w:r>
      <w:r>
        <w:t xml:space="preserve"> </w:t>
      </w:r>
      <w:r>
        <w:t xml:space="preserve"> </w:t>
      </w:r>
      <w:hyperlink r:id="rId20" w:history="1">
        <w:r>
          <w:rPr>
            <w:rStyle w:val="Hyperlink"/>
            <w:b/>
            <w:i w:val="0"/>
            <w:strike w:val="0"/>
            <w:color w:val="467886"/>
            <w:u w:val="single"/>
          </w:rPr>
          <w:t>Even Free Libraries Come With a Cost</w:t>
        </w:r>
      </w:hyperlink>
    </w:p>
    <w:p>
      <w:pPr>
        <w:pStyle w:val="Report-Metadata"/>
        <w:keepNext w:val="0"/>
        <w:keepLines w:val="0"/>
        <w:pageBreakBefore w:val="0"/>
        <w:widowControl/>
        <w:spacing w:before="0" w:after="0" w:line="240" w:lineRule="auto"/>
        <w:ind w:left="720" w:right="0" w:firstLine="0"/>
        <w:contextualSpacing w:val="0"/>
        <w:jc w:val="left"/>
        <w:outlineLvl w:val="9"/>
        <w:rPr>
          <w:b w:val="0"/>
          <w:i w:val="0"/>
          <w:strike w:val="0"/>
        </w:rPr>
      </w:pPr>
      <w:r>
        <w:rPr>
          <w:rFonts w:ascii="Arial" w:eastAsia="Times New Roman" w:hAnsi="Arial" w:cs="Arial"/>
          <w:b/>
          <w:i w:val="0"/>
          <w:strike w:val="0"/>
          <w:color w:val="1D1D1D"/>
          <w:sz w:val="18"/>
        </w:rPr>
        <w:t>Anisa Noorassa, McDermott Will &amp; Emery</w:t>
      </w:r>
    </w:p>
    <w:p w:rsidR="000911FB" w:rsidRPr="00C67A9D" w:rsidP="000911FB" w14:textId="43CA2655">
      <w:pPr>
        <w:pStyle w:val="Report-Metadata"/>
        <w:rPr>
          <w:b w:val="0"/>
          <w:bCs w:val="0"/>
        </w:rPr>
      </w:pPr>
      <w:r>
        <w:rPr>
          <w:b/>
          <w:i w:val="0"/>
          <w:strike w:val="0"/>
        </w:rPr>
        <w:t>JD Supra</w:t>
      </w:r>
      <w:r w:rsidRPr="00C67A9D">
        <w:rPr>
          <w:b w:val="0"/>
          <w:bCs w:val="0"/>
        </w:rPr>
        <w:t xml:space="preserve">   •   </w:t>
      </w:r>
      <w:r>
        <w:rPr>
          <w:b/>
          <w:i w:val="0"/>
          <w:strike w:val="0"/>
        </w:rPr>
        <w:t>2024 WLNR 25698072</w:t>
      </w:r>
      <w:r w:rsidRPr="00C67A9D">
        <w:rPr>
          <w:b w:val="0"/>
          <w:bCs w:val="0"/>
        </w:rPr>
        <w:t xml:space="preserve">   •   </w:t>
      </w:r>
      <w:r>
        <w:rPr>
          <w:b/>
          <w:i w:val="0"/>
          <w:strike w:val="0"/>
        </w:rPr>
        <w:t>April 21, 2025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purpose and character of the use, including whether such use is of a commercial nature or is for nonprofit educational purposes. The nature of the copyrighted work. The amount and substantiality of the portion used in relation to the copyrighted work as a whole. The effect of the use upon the potential market for or value of the copyrighted work. The district court found that Internet Archive's use of the works was not covered by the fair use exception because its use was non-transformative, was commercial in nature due to its solicitation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13</w:t>
      </w:r>
      <w:r w:rsidRPr="00755B14">
        <w:rPr>
          <w:b/>
          <w:bCs/>
        </w:rPr>
        <w:t>.</w:t>
      </w:r>
      <w:r w:rsidRPr="00E5063B">
        <w:t xml:space="preserve"> </w:t>
      </w:r>
      <w:r>
        <w:t xml:space="preserve"> </w:t>
      </w:r>
      <w:hyperlink r:id="rId21" w:history="1">
        <w:r>
          <w:rPr>
            <w:rStyle w:val="Hyperlink"/>
            <w:b/>
            <w:i w:val="0"/>
            <w:strike w:val="0"/>
            <w:color w:val="467886"/>
            <w:u w:val="single"/>
          </w:rPr>
          <w:t>Qualifying as a Public Charity</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providing an overview of the requirements for qualifying as a public charity under the Internal Revenue Code (IRC). This Note addresses the public support test and gross receipts test for public charity classification. It also addresses other types of entities that avoid private foundation status, such as per se public charities and supporting organizations.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14</w:t>
      </w:r>
      <w:r w:rsidRPr="00755B14">
        <w:rPr>
          <w:b/>
          <w:bCs/>
        </w:rPr>
        <w:t>.</w:t>
      </w:r>
      <w:r w:rsidRPr="00E5063B">
        <w:t xml:space="preserve"> </w:t>
      </w:r>
      <w:r>
        <w:t xml:space="preserve"> </w:t>
      </w:r>
      <w:hyperlink r:id="rId22" w:history="1">
        <w:r>
          <w:rPr>
            <w:rStyle w:val="Hyperlink"/>
            <w:b/>
            <w:i w:val="0"/>
            <w:strike w:val="0"/>
            <w:color w:val="467886"/>
            <w:u w:val="single"/>
          </w:rPr>
          <w:t>Copyright Fair Use</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the fair use doctrine under US copyright law. This Note provides an overview of the constitutional basis and policy rationales for the fair use doctrine and the Copyright Act's provisions governing fair use. This Note explores the practical and strategic considerations for counsel advising clients on fair use and litigating related issues. It discusses the judicial weighing of fair use factors, including the purpose and character of use, nature of the copyrighted work, amount and substantiality of the portion used, and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15</w:t>
      </w:r>
      <w:r w:rsidRPr="00755B14">
        <w:rPr>
          <w:b/>
          <w:bCs/>
        </w:rPr>
        <w:t>.</w:t>
      </w:r>
      <w:r w:rsidRPr="00E5063B">
        <w:t xml:space="preserve"> </w:t>
      </w:r>
      <w:r>
        <w:t xml:space="preserve"> </w:t>
      </w:r>
      <w:hyperlink r:id="rId23" w:history="1">
        <w:r>
          <w:rPr>
            <w:rStyle w:val="Hyperlink"/>
            <w:b/>
            <w:i w:val="0"/>
            <w:strike w:val="0"/>
            <w:color w:val="467886"/>
            <w:u w:val="single"/>
          </w:rPr>
          <w:t>Interns, Trainees, and Volunteers Under the FLSA</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discussing interns, trainees, and volunteers under the Fair Labor Standards Act (FLSA). It addresses when private, for-profit employers must classify interns and trainees as employees entitled to minimum wage and overtime pay, and under what circumstances employees may volunteer their time. This Note explores the application of the primary beneficiary test and its impact on unpaid internship programs. It also examines the legal framework for volunteer activities and the potential consequences of misclassifying individuals as unpaid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the legal framework for Factor 1 analysis in nonprofit educational characterization under 2nd Circuit precedent and applicable federal tax law</w:t>
      </w:r>
    </w:p>
    <w:p>
      <w:pPr>
        <w:numPr>
          <w:ilvl w:val="1"/>
          <w:numId w:val="34"/>
        </w:numPr>
        <w:rPr>
          <w:b w:val="0"/>
          <w:i w:val="0"/>
          <w:strike w:val="0"/>
        </w:rPr>
      </w:pPr>
      <w:r>
        <w:rPr>
          <w:rFonts w:ascii="Arial" w:eastAsia="Times New Roman" w:hAnsi="Arial" w:cs="Arial"/>
          <w:b w:val="0"/>
          <w:i w:val="0"/>
          <w:strike w:val="0"/>
          <w:color w:val="1D1D1D"/>
        </w:rPr>
        <w:t>Found 2nd Circuit precedent on Factor 1 analysis: Hachette v. Internet Archive (2024) - nonprofit status alone doesn't insulate from commerciality finding; Lish v. Harper's - nonprofit foundation still found commercial when objective was to sell magazines for profit</w:t>
      </w:r>
    </w:p>
    <w:p>
      <w:pPr>
        <w:numPr>
          <w:ilvl w:val="0"/>
          <w:numId w:val="34"/>
        </w:numPr>
        <w:rPr>
          <w:b w:val="0"/>
          <w:i w:val="0"/>
          <w:strike w:val="0"/>
        </w:rPr>
      </w:pPr>
      <w:r>
        <w:rPr>
          <w:rFonts w:ascii="Arial" w:eastAsia="Times New Roman" w:hAnsi="Arial" w:cs="Arial"/>
          <w:b w:val="0"/>
          <w:i w:val="0"/>
          <w:strike w:val="0"/>
          <w:color w:val="1D1D1D"/>
        </w:rPr>
        <w:t>Analyzing 2nd Circuit case law addressing when incidental commercial benefits to related entities affect nonprofit educational status determinations</w:t>
      </w:r>
    </w:p>
    <w:p>
      <w:pPr>
        <w:numPr>
          <w:ilvl w:val="1"/>
          <w:numId w:val="34"/>
        </w:numPr>
        <w:rPr>
          <w:b w:val="0"/>
          <w:i w:val="0"/>
          <w:strike w:val="0"/>
        </w:rPr>
      </w:pPr>
      <w:r>
        <w:rPr>
          <w:rFonts w:ascii="Arial" w:eastAsia="Times New Roman" w:hAnsi="Arial" w:cs="Arial"/>
          <w:b w:val="0"/>
          <w:i w:val="0"/>
          <w:strike w:val="0"/>
          <w:color w:val="1D1D1D"/>
        </w:rPr>
        <w:t>2nd Circuit in Hachette (2024) establishes that general reputational/mission benefits from nonprofit activities don't constitute commercial use - "would render commercial the activities of virtually any nonprofit organization that bolsters its reputation through its own nonprofit activities"</w:t>
      </w:r>
    </w:p>
    <w:p>
      <w:pPr>
        <w:numPr>
          <w:ilvl w:val="0"/>
          <w:numId w:val="34"/>
        </w:numPr>
        <w:rPr>
          <w:b w:val="0"/>
          <w:i w:val="0"/>
          <w:strike w:val="0"/>
        </w:rPr>
      </w:pPr>
      <w:r>
        <w:rPr>
          <w:rFonts w:ascii="Arial" w:eastAsia="Times New Roman" w:hAnsi="Arial" w:cs="Arial"/>
          <w:b w:val="0"/>
          <w:i w:val="0"/>
          <w:strike w:val="0"/>
          <w:color w:val="1D1D1D"/>
        </w:rPr>
        <w:t>Examining IRS regulations and Treasury guidance on educational purposes under IRC Section 501(c)(3) and how subsidiary-parent relationships impact educational characterization</w:t>
      </w:r>
    </w:p>
    <w:p>
      <w:pPr>
        <w:numPr>
          <w:ilvl w:val="1"/>
          <w:numId w:val="34"/>
        </w:numPr>
        <w:rPr>
          <w:b w:val="0"/>
          <w:i w:val="0"/>
          <w:strike w:val="0"/>
        </w:rPr>
      </w:pPr>
      <w:r>
        <w:rPr>
          <w:rFonts w:ascii="Arial" w:eastAsia="Times New Roman" w:hAnsi="Arial" w:cs="Arial"/>
          <w:b w:val="0"/>
          <w:i w:val="0"/>
          <w:strike w:val="0"/>
          <w:color w:val="1D1D1D"/>
        </w:rPr>
        <w:t>Federal tax law: Mayo Clinic cases establish "primary purpose" means "substantial" not "principal" purpose - can have multiple substantial functions with incidental activities. Licensing at/below cost is factor supporting educational purpose (Rev. Rul. 71-529)</w:t>
      </w:r>
    </w:p>
    <w:p>
      <w:pPr>
        <w:numPr>
          <w:ilvl w:val="0"/>
          <w:numId w:val="34"/>
        </w:numPr>
        <w:rPr>
          <w:b w:val="0"/>
          <w:i w:val="0"/>
          <w:strike w:val="0"/>
        </w:rPr>
      </w:pPr>
      <w:r>
        <w:rPr>
          <w:rFonts w:ascii="Arial" w:eastAsia="Times New Roman" w:hAnsi="Arial" w:cs="Arial"/>
          <w:b w:val="0"/>
          <w:i w:val="0"/>
          <w:strike w:val="0"/>
          <w:color w:val="1D1D1D"/>
        </w:rPr>
        <w:t>Investigating 2nd Circuit decisions on the "incidental benefit" standard and its application to nonprofit subsidiaries whose activities may enhance parent company reputation or revenue</w:t>
      </w:r>
    </w:p>
    <w:p>
      <w:pPr>
        <w:numPr>
          <w:ilvl w:val="1"/>
          <w:numId w:val="34"/>
        </w:numPr>
        <w:rPr>
          <w:b w:val="0"/>
          <w:i w:val="0"/>
          <w:strike w:val="0"/>
        </w:rPr>
      </w:pPr>
      <w:r>
        <w:rPr>
          <w:rFonts w:ascii="Arial" w:eastAsia="Times New Roman" w:hAnsi="Arial" w:cs="Arial"/>
          <w:b w:val="0"/>
          <w:i w:val="0"/>
          <w:strike w:val="0"/>
          <w:color w:val="1D1D1D"/>
        </w:rPr>
        <w:t>2nd Circuit test: Focus is whether user profits from exploitation "without paying customary price" (Hachette). Incidental benefits that flow to parent don't defeat educational purpose if licensing done at/below cost and primary purpose remains educational</w:t>
      </w:r>
    </w:p>
    <w:p>
      <w:pPr>
        <w:numPr>
          <w:ilvl w:val="0"/>
          <w:numId w:val="34"/>
        </w:numPr>
        <w:rPr>
          <w:b w:val="0"/>
          <w:i w:val="0"/>
          <w:strike w:val="0"/>
        </w:rPr>
      </w:pPr>
      <w:r>
        <w:rPr>
          <w:rFonts w:ascii="Arial" w:eastAsia="Times New Roman" w:hAnsi="Arial" w:cs="Arial"/>
          <w:b w:val="0"/>
          <w:i w:val="0"/>
          <w:strike w:val="0"/>
          <w:color w:val="1D1D1D"/>
        </w:rPr>
        <w:t>Researching federal tax court and 2nd Circuit precedent distinguishing between primary educational purposes and secondary commercial effects in nonprofit subsidiary operations</w:t>
      </w:r>
    </w:p>
    <w:p>
      <w:pPr>
        <w:numPr>
          <w:ilvl w:val="1"/>
          <w:numId w:val="34"/>
        </w:numPr>
        <w:rPr>
          <w:b w:val="0"/>
          <w:i w:val="0"/>
          <w:strike w:val="0"/>
        </w:rPr>
      </w:pPr>
      <w:r>
        <w:rPr>
          <w:rFonts w:ascii="Arial" w:eastAsia="Times New Roman" w:hAnsi="Arial" w:cs="Arial"/>
          <w:b w:val="0"/>
          <w:i w:val="0"/>
          <w:strike w:val="0"/>
          <w:color w:val="1D1D1D"/>
        </w:rPr>
        <w:t>2nd Circuit precedent confirms nonprofit educational organizations can engage in some commercial-like activities without losing status if primary purpose remains educational. Twin Peaks (1993): even commercial publishers can serve educational purposes. Key is whether exploitation occurs "without paying customary price" and whether educational purpose is substantial rather than incidental.</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0"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educational materials does the nonprofit subsidiary produce and distribute (textbooks, research publications, training materials, etc.)?</w:t>
      </w:r>
    </w:p>
    <w:p>
      <w:pPr>
        <w:numPr>
          <w:ilvl w:val="0"/>
          <w:numId w:val="33"/>
        </w:numPr>
        <w:rPr>
          <w:b w:val="0"/>
          <w:i w:val="0"/>
          <w:strike w:val="0"/>
        </w:rPr>
      </w:pPr>
      <w:r>
        <w:rPr>
          <w:rFonts w:ascii="Arial" w:hAnsi="Arial" w:cs="Arial"/>
          <w:b/>
          <w:i w:val="0"/>
          <w:strike w:val="0"/>
          <w:color w:val="1D1D1D"/>
        </w:rPr>
        <w:t>At what price point does the subsidiary license its educational materials to third parties, and how does this compare to market rates?</w:t>
      </w:r>
    </w:p>
    <w:p>
      <w:pPr>
        <w:numPr>
          <w:ilvl w:val="0"/>
          <w:numId w:val="33"/>
        </w:numPr>
        <w:rPr>
          <w:b w:val="0"/>
          <w:i w:val="0"/>
          <w:strike w:val="0"/>
        </w:rPr>
      </w:pPr>
      <w:r>
        <w:rPr>
          <w:rFonts w:ascii="Arial" w:hAnsi="Arial" w:cs="Arial"/>
          <w:b/>
          <w:i w:val="0"/>
          <w:strike w:val="0"/>
          <w:color w:val="1D1D1D"/>
        </w:rPr>
        <w:t>What is the nature of the benefits that flow to the parent company (increased brand recognition, direct revenue sharing, enhanced market position, etc.)?</w:t>
      </w:r>
    </w:p>
    <w:p>
      <w:pPr>
        <w:numPr>
          <w:ilvl w:val="0"/>
          <w:numId w:val="33"/>
        </w:numPr>
        <w:rPr>
          <w:b w:val="0"/>
          <w:i w:val="0"/>
          <w:strike w:val="0"/>
        </w:rPr>
      </w:pPr>
      <w:r>
        <w:rPr>
          <w:rFonts w:ascii="Arial" w:hAnsi="Arial" w:cs="Arial"/>
          <w:b/>
          <w:i w:val="0"/>
          <w:strike w:val="0"/>
          <w:color w:val="1D1D1D"/>
        </w:rPr>
        <w:t>What percentage of the subsidiary's activities are devoted to educational purposes versus other functions?</w:t>
      </w:r>
    </w:p>
    <w:p>
      <w:pPr>
        <w:numPr>
          <w:ilvl w:val="0"/>
          <w:numId w:val="33"/>
        </w:numPr>
        <w:rPr>
          <w:b w:val="0"/>
          <w:i w:val="0"/>
          <w:strike w:val="0"/>
        </w:rPr>
      </w:pPr>
      <w:r>
        <w:rPr>
          <w:rFonts w:ascii="Arial" w:hAnsi="Arial" w:cs="Arial"/>
          <w:b/>
          <w:i w:val="0"/>
          <w:strike w:val="0"/>
          <w:color w:val="1D1D1D"/>
        </w:rPr>
        <w:t>Does the subsidiary have any formal agreements with the parent company regarding the use or licensing of educational materials?</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4"/>
      <w:footerReference w:type="even" r:id="rId25"/>
      <w:footerReference w:type="default" r:id="rId26"/>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14</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3, 2026</w:t>
    </w:r>
    <w:r w:rsidRPr="00CA3A86" w:rsidR="00266D65">
      <w:rPr>
        <w:rFonts w:ascii="Arial" w:hAnsi="Arial" w:cs="Arial"/>
        <w:sz w:val="18"/>
        <w:szCs w:val="18"/>
      </w:rPr>
      <w:t xml:space="preserve"> at </w:t>
    </w:r>
    <w:r>
      <w:rPr>
        <w:rFonts w:ascii="Arial" w:hAnsi="Arial" w:cs="Arial"/>
        <w:b w:val="0"/>
        <w:i w:val="0"/>
        <w:strike w:val="0"/>
        <w:sz w:val="18"/>
      </w:rPr>
      <w:t>11:49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79894e106ae511ed90b98e711441bfca/View/FullText.html?transitionType=AIGuidedResearch&amp;contextData=%28sc.Default%29&amp;list=All&amp;listSource=WebsiteInternal&amp;conversationId=a60e3eec-3739-41b4-bdf2-f8bc37b54919" TargetMode="External" /><Relationship Id="rId11" Type="http://schemas.openxmlformats.org/officeDocument/2006/relationships/hyperlink" Target="https://1.next.westlaw.com/Document/Iebd7e4b7562a11d9bf30d7fdf51b6bd4/View/FullText.html?transitionType=AIGuidedResearch&amp;contextData=%28sc.Default%29&amp;list=All&amp;listSource=WebsiteInternal&amp;conversationId=a60e3eec-3739-41b4-bdf2-f8bc37b54919" TargetMode="External" /><Relationship Id="rId12" Type="http://schemas.openxmlformats.org/officeDocument/2006/relationships/hyperlink" Target="https://1.next.westlaw.com/Link/RelatedInformation/Flag?docGuid=I1ffc022796fa11d9bdd1cfdd544ca3a4&amp;ppcid=i0a898def0000019c2610c98d2c6c8573&amp;transitionType=AIGuidedResearch&amp;contextData=%28sc.Default%29&amp;conversationId=a60e3eec-3739-41b4-bdf2-f8bc37b54919" TargetMode="External" /><Relationship Id="rId13" Type="http://schemas.openxmlformats.org/officeDocument/2006/relationships/hyperlink" Target="https://1.next.westlaw.com/Document/I1ffc022796fa11d9bdd1cfdd544ca3a4/View/FullText.html?transitionType=AIGuidedResearch&amp;contextData=%28sc.Default%29&amp;list=All&amp;listSource=WebsiteInternal&amp;conversationId=a60e3eec-3739-41b4-bdf2-f8bc37b54919" TargetMode="External" /><Relationship Id="rId14" Type="http://schemas.openxmlformats.org/officeDocument/2006/relationships/hyperlink" Target="https://1.next.westlaw.com/Link/RelatedInformation/Flag?docGuid=Id4c909f39c1d11d991d0cc6b54f12d4d&amp;ppcid=i0a898def0000019c2610c98d2c6c8573&amp;transitionType=AIGuidedResearch&amp;contextData=%28sc.Default%29&amp;conversationId=a60e3eec-3739-41b4-bdf2-f8bc37b54919" TargetMode="External" /><Relationship Id="rId15" Type="http://schemas.openxmlformats.org/officeDocument/2006/relationships/hyperlink" Target="https://1.next.westlaw.com/Document/Id4c909f39c1d11d991d0cc6b54f12d4d/View/FullText.html?transitionType=AIGuidedResearch&amp;contextData=%28sc.Default%29&amp;list=All&amp;listSource=WebsiteInternal&amp;conversationId=a60e3eec-3739-41b4-bdf2-f8bc37b54919" TargetMode="External" /><Relationship Id="rId16" Type="http://schemas.openxmlformats.org/officeDocument/2006/relationships/hyperlink" Target="https://1.next.westlaw.com/Document/I6a11d3e32e5611dbbffafa490ee528f6/View/FullText.html?transitionType=AIGuidedResearch&amp;contextData=%28sc.Default%29&amp;list=All&amp;listSource=WebsiteInternal&amp;conversationId=a60e3eec-3739-41b4-bdf2-f8bc37b54919" TargetMode="External" /><Relationship Id="rId17" Type="http://schemas.openxmlformats.org/officeDocument/2006/relationships/hyperlink" Target="https://1.next.westlaw.com/Document/I16430786ff6d11d997fc8b27bc0692a9/View/FullText.html?transitionType=AIGuidedResearch&amp;contextData=%28sc.Default%29&amp;list=All&amp;listSource=WebsiteInternal&amp;conversationId=a60e3eec-3739-41b4-bdf2-f8bc37b54919" TargetMode="External" /><Relationship Id="rId18" Type="http://schemas.openxmlformats.org/officeDocument/2006/relationships/hyperlink" Target="https://1.next.westlaw.com/Document/I30312f05835611df9ed28c892d71e76c/View/FullText.html?transitionType=AIGuidedResearch&amp;contextData=%28sc.Default%29&amp;list=All&amp;listSource=WebsiteInternal&amp;conversationId=a60e3eec-3739-41b4-bdf2-f8bc37b54919" TargetMode="External" /><Relationship Id="rId19" Type="http://schemas.openxmlformats.org/officeDocument/2006/relationships/hyperlink" Target="https://1.next.westlaw.com/Document/Icc0f65f0487c11df95b69f950c5636f6/View/FullText.html?transitionType=AIGuidedResearch&amp;contextData=%28sc.Default%29&amp;list=All&amp;listSource=WebsiteInternal&amp;conversationId=a60e3eec-3739-41b4-bdf2-f8bc37b54919" TargetMode="External" /><Relationship Id="rId2" Type="http://schemas.openxmlformats.org/officeDocument/2006/relationships/webSettings" Target="webSettings.xml" /><Relationship Id="rId20" Type="http://schemas.openxmlformats.org/officeDocument/2006/relationships/hyperlink" Target="https://1.next.westlaw.com/Document/Ie5ce23d01e7e11f08889a405c70d3372/View/FullText.html?transitionType=AIGuidedResearch&amp;contextData=%28sc.Default%29&amp;list=All&amp;listSource=WebsiteInternal&amp;conversationId=a60e3eec-3739-41b4-bdf2-f8bc37b54919" TargetMode="External" /><Relationship Id="rId21" Type="http://schemas.openxmlformats.org/officeDocument/2006/relationships/hyperlink" Target="https://1.next.westlaw.com/Document/I5b9737d44f7711ebbea4f0dc9fb69570/View/FullText.html?transitionType=AIGuidedResearch&amp;contextData=%28sc.Default%29&amp;list=All&amp;listSource=WebsiteInternal&amp;conversationId=a60e3eec-3739-41b4-bdf2-f8bc37b54919" TargetMode="External" /><Relationship Id="rId22" Type="http://schemas.openxmlformats.org/officeDocument/2006/relationships/hyperlink" Target="https://1.next.westlaw.com/Document/Ibb0a1264ef0511e28578f7ccc38dcbee/View/FullText.html?transitionType=AIGuidedResearch&amp;contextData=%28sc.Default%29&amp;list=All&amp;listSource=WebsiteInternal&amp;conversationId=a60e3eec-3739-41b4-bdf2-f8bc37b54919" TargetMode="External" /><Relationship Id="rId23" Type="http://schemas.openxmlformats.org/officeDocument/2006/relationships/hyperlink" Target="https://1.next.westlaw.com/Document/I03f4da60eee311e28578f7ccc38dcbee/View/FullText.html?transitionType=AIGuidedResearch&amp;contextData=%28sc.Default%29&amp;list=All&amp;listSource=WebsiteInternal&amp;conversationId=a60e3eec-3739-41b4-bdf2-f8bc37b54919" TargetMode="External" /><Relationship Id="rId24" Type="http://schemas.openxmlformats.org/officeDocument/2006/relationships/header" Target="header1.xml" /><Relationship Id="rId25" Type="http://schemas.openxmlformats.org/officeDocument/2006/relationships/footer" Target="footer1.xml" /><Relationship Id="rId26" Type="http://schemas.openxmlformats.org/officeDocument/2006/relationships/footer" Target="footer2.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Link/RelatedInformation/Flag?docGuid=Ic33554606ae211ef806a83ea3275ddd8&amp;ppcid=i0a898def0000019c2610c98d2c6c8573&amp;transitionType=AIGuidedResearch&amp;contextData=%28sc.Default%29&amp;conversationId=a60e3eec-3739-41b4-bdf2-f8bc37b54919" TargetMode="External" /><Relationship Id="rId5" Type="http://schemas.openxmlformats.org/officeDocument/2006/relationships/image" Target="https://i1.next.westlaw.com/permalink/indigo/flag_yellow_small.png" TargetMode="External" /><Relationship Id="rId6" Type="http://schemas.openxmlformats.org/officeDocument/2006/relationships/hyperlink" Target="https://1.next.westlaw.com/Document/Ic33554606ae211ef806a83ea3275ddd8/View/FullText.html?transitionType=AIGuidedResearch&amp;contextData=%28sc.Default%29&amp;list=All&amp;listSource=WebsiteInternal&amp;conversationId=a60e3eec-3739-41b4-bdf2-f8bc37b54919" TargetMode="External" /><Relationship Id="rId7" Type="http://schemas.openxmlformats.org/officeDocument/2006/relationships/hyperlink" Target="https://1.next.westlaw.com/Link/RelatedInformation/Flag?docGuid=I8a81928255fb11d997e0acd5cbb90d3f&amp;ppcid=i0a898def0000019c2610c98d2c6c8573&amp;transitionType=AIGuidedResearch&amp;contextData=%28sc.Default%29&amp;conversationId=a60e3eec-3739-41b4-bdf2-f8bc37b54919" TargetMode="External" /><Relationship Id="rId8" Type="http://schemas.openxmlformats.org/officeDocument/2006/relationships/hyperlink" Target="https://1.next.westlaw.com/Document/I8a81928255fb11d997e0acd5cbb90d3f/View/FullText.html?transitionType=AIGuidedResearch&amp;contextData=%28sc.Default%29&amp;list=All&amp;listSource=WebsiteInternal&amp;conversationId=a60e3eec-3739-41b4-bdf2-f8bc37b54919" TargetMode="External" /><Relationship Id="rId9" Type="http://schemas.openxmlformats.org/officeDocument/2006/relationships/hyperlink" Target="https://1.next.westlaw.com/Document/I08fde630699b11f082eac55a77a98193/View/FullText.html?transitionType=AIGuidedResearch&amp;contextData=%28sc.Default%29&amp;list=All&amp;listSource=WebsiteInternal&amp;conversationId=a60e3eec-3739-41b4-bdf2-f8bc37b549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14</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