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In copyright fair use analysis under 17 U.S.C. § 107 Factor 4 (market harm), when determining the "relevant market" for purposes of assessing market harm, is the relevant market (a) the plaintiff's potential licensing market, or (b) the educational materials market generally?</w:t>
        <w:br/>
        <w:br/>
      </w:r>
      <w:r>
        <w:rPr>
          <w:b/>
          <w:i w:val="0"/>
          <w:strike w:val="0"/>
        </w:rPr>
        <w:t>Sub-questions:</w:t>
      </w:r>
      <w:r>
        <w:rPr>
          <w:b w:val="0"/>
          <w:i w:val="0"/>
          <w:strike w:val="0"/>
        </w:rPr>
        <w:br/>
        <w:br/>
        <w:t>- Under fair use Factor 4 in educational copyright cases, how do courts define "the market" for purposes of analyzing potential market harm—is it the specific licensing market, the broader educational market, or both?</w:t>
        <w:br/>
        <w:t>- In copyright fair use Factor 4 analysis, does a transformative use create a different market segment such that there is no overlap with the original work's market?</w:t>
        <w:br/>
        <w:t>- Under fair use Factor 4's market harm analysis, can a defendant's use be found to harm a licensing market if no established licensing market existed at the time of the alleged infringement?</w:t>
        <w:br/>
        <w:t>- Does transformative use create different market segment?</w:t>
        <w:br/>
        <w:t>- Can defendant's use harm licensing market if no established licensing market existed?</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2nd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In the Second Circuit, the relevant market for Factor 4 market harm analysis under 17 U.S.C. § 107 is neither strictly limited to the plaintiff's specific licensing market nor broadly defined as the general educational materials market. Instead, courts apply a nuanced standard focusing on "traditional, reasonable, or likely to be developed markets" that copyright holders would "in general develop or license others to develop."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American Geophysical Union v. Texaco Inc., 60 F.3d 913 (1994)</w:t>
        </w:r>
      </w:hyperlink>
      <w:r>
        <w:rPr>
          <w:rFonts w:ascii="Arial" w:eastAsia="Times New Roman" w:hAnsi="Arial" w:cs="Arial"/>
          <w:b w:val="0"/>
          <w:i w:val="0"/>
          <w:strike w:val="0"/>
          <w:color w:val="1D1D1D"/>
          <w:u w:val="none"/>
        </w:rPr>
        <w:t xml:space="preserve"> </w:t>
      </w:r>
      <w:hyperlink r:id="rId7"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The analysis encompasses both the primary market for the original work and derivative markets, but excludes transformative markets that copyright owners cannot legitimately claim. </w:t>
      </w:r>
      <w:hyperlink r:id="rId9" w:history="1">
        <w:r>
          <w:rPr>
            <w:rStyle w:val="Hyperlink"/>
            <w:rFonts w:ascii="Arial" w:eastAsia="Times New Roman" w:hAnsi="Arial" w:cs="Arial"/>
            <w:b w:val="0"/>
            <w:i w:val="0"/>
            <w:strike w:val="0"/>
            <w:color w:val="467886"/>
            <w:u w:val="none"/>
          </w:rPr>
          <w:t>17 USCA § 107</w:t>
        </w:r>
      </w:hyperlink>
      <w:r>
        <w:rPr>
          <w:rFonts w:ascii="Arial" w:eastAsia="Times New Roman" w:hAnsi="Arial" w:cs="Arial"/>
          <w:b w:val="0"/>
          <w:i w:val="0"/>
          <w:strike w:val="0"/>
          <w:color w:val="1D1D1D"/>
          <w:u w:val="none"/>
        </w:rPr>
        <w:t xml:space="preserve"> </w:t>
      </w:r>
      <w:hyperlink r:id="rId10"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br/>
      </w:r>
    </w:p>
    <w:p>
      <w:pPr>
        <w:pStyle w:val="Heading3"/>
        <w:rPr>
          <w:b w:val="0"/>
          <w:i w:val="0"/>
          <w:strike w:val="0"/>
        </w:rPr>
      </w:pPr>
      <w:r>
        <w:rPr>
          <w:b/>
          <w:u w:val="none"/>
        </w:rPr>
        <w:t>Second Circuit's "Traditional, Reasonable, or Likely to be Developed Markets" Standard</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established the foundational framework in </w:t>
      </w:r>
      <w:r>
        <w:rPr>
          <w:rFonts w:ascii="Arial" w:eastAsia="Times New Roman" w:hAnsi="Arial" w:cs="Arial"/>
          <w:b w:val="0"/>
          <w:i/>
          <w:strike w:val="0"/>
          <w:color w:val="1D1D1D"/>
          <w:u w:val="none"/>
        </w:rPr>
        <w:t>American Geophysical Union v. Texaco Inc.</w:t>
      </w:r>
      <w:r>
        <w:rPr>
          <w:rFonts w:ascii="Arial" w:eastAsia="Times New Roman" w:hAnsi="Arial" w:cs="Arial"/>
          <w:b w:val="0"/>
          <w:i w:val="0"/>
          <w:strike w:val="0"/>
          <w:color w:val="1D1D1D"/>
          <w:u w:val="none"/>
        </w:rPr>
        <w:t xml:space="preserve">, holding that "only an impact on potential licensing revenues for traditional, reasonable, or likely to be developed markets should be legally cognizable" under Factor 4. </w:t>
      </w:r>
      <w:hyperlink r:id="rId4"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American Geophysical Union v. Texaco Inc., 60 F.3d 913 (1994)</w:t>
        </w:r>
      </w:hyperlink>
      <w:r>
        <w:rPr>
          <w:rFonts w:ascii="Arial" w:eastAsia="Times New Roman" w:hAnsi="Arial" w:cs="Arial"/>
          <w:b w:val="0"/>
          <w:i w:val="0"/>
          <w:strike w:val="0"/>
          <w:color w:val="1D1D1D"/>
          <w:u w:val="none"/>
        </w:rPr>
        <w:t xml:space="preserve"> This standard prevents copyright holders from automatically defeating fair use claims merely because a secondary user did not pay licensing fees, while still protecting legitimate licensing markets.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court emphasized that market harm analysis must avoid circular reasoning where "the copyright holder has not been paid a fee to permit that particular use." </w:t>
      </w:r>
      <w:hyperlink r:id="rId4"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American Geophysical Union v. Texaco Inc., 60 F.3d 913 (1994)</w:t>
        </w:r>
      </w:hyperlink>
      <w:r>
        <w:rPr>
          <w:rFonts w:ascii="Arial" w:eastAsia="Times New Roman" w:hAnsi="Arial" w:cs="Arial"/>
          <w:b w:val="0"/>
          <w:i w:val="0"/>
          <w:strike w:val="0"/>
          <w:color w:val="1D1D1D"/>
          <w:u w:val="none"/>
        </w:rPr>
        <w:t xml:space="preserve"> Instead, courts examine whether the challenged use impacts markets that creators of original works would generally develop or license others to develop, regardless of whether the specific plaintiff has actually entered those markets. </w:t>
      </w:r>
      <w:hyperlink r:id="rId4"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American Geophysical Union v. Texaco Inc., 60 F.3d 913 (1994)</w:t>
        </w:r>
      </w:hyperlink>
      <w:r>
        <w:rPr>
          <w:rFonts w:ascii="Arial" w:eastAsia="Times New Roman" w:hAnsi="Arial" w:cs="Arial"/>
          <w:b w:val="0"/>
          <w:i w:val="0"/>
          <w:strike w:val="0"/>
          <w:color w:val="1D1D1D"/>
          <w:u w:val="none"/>
        </w:rPr>
        <w:t xml:space="preserve"> </w:t>
      </w:r>
      <w:hyperlink r:id="rId10" w:history="1">
        <w:r>
          <w:pict>
            <v:shape id="_x0000_i103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br/>
      </w:r>
    </w:p>
    <w:p>
      <w:pPr>
        <w:pStyle w:val="Heading3"/>
        <w:rPr>
          <w:b w:val="0"/>
          <w:i w:val="0"/>
          <w:strike w:val="0"/>
        </w:rPr>
      </w:pPr>
      <w:r>
        <w:rPr>
          <w:b/>
          <w:u w:val="none"/>
        </w:rPr>
        <w:t>Application in Educational Contexts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recent Second Circuit decision in </w:t>
      </w:r>
      <w:r>
        <w:rPr>
          <w:rFonts w:ascii="Arial" w:eastAsia="Times New Roman" w:hAnsi="Arial" w:cs="Arial"/>
          <w:b w:val="0"/>
          <w:i/>
          <w:strike w:val="0"/>
          <w:color w:val="1D1D1D"/>
          <w:u w:val="none"/>
        </w:rPr>
        <w:t>Hachette Book Group, Inc. v. Internet Archive</w:t>
      </w:r>
      <w:r>
        <w:rPr>
          <w:rFonts w:ascii="Arial" w:eastAsia="Times New Roman" w:hAnsi="Arial" w:cs="Arial"/>
          <w:b w:val="0"/>
          <w:i w:val="0"/>
          <w:strike w:val="0"/>
          <w:color w:val="1D1D1D"/>
          <w:u w:val="none"/>
        </w:rPr>
        <w:t xml:space="preserve"> demonstrates how this standard applies in educational settings. </w:t>
      </w:r>
      <w:hyperlink r:id="rId7" w:history="1">
        <w:r>
          <w:pict>
            <v:shape id="_x0000_i103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The court rejected the argument that the relevant market should be narrowly defined and instead held that "the relevant market for purposes of the fourth factor was the market for books in general, regardless of format." </w:t>
      </w:r>
      <w:hyperlink r:id="rId7" w:history="1">
        <w:r>
          <w:pict>
            <v:shape id="_x0000_i103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Significantly, the court found that the publishers' "library ebook licensing market was both reasonable and developed," even though the defendant argued it was providing a different educational service. </w:t>
      </w:r>
      <w:hyperlink r:id="rId7" w:history="1">
        <w:r>
          <w:pict>
            <v:shape id="_x0000_i1035"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The court emphasized that the Internet Archive "appropriated the Works without payment of customary licensing fees" and thereby "usurped a market that properly belongs to the copyright holder." </w:t>
      </w:r>
      <w:hyperlink r:id="rId7" w:history="1">
        <w:r>
          <w:pict>
            <v:shape id="_x0000_i103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br/>
      </w:r>
    </w:p>
    <w:p>
      <w:pPr>
        <w:pStyle w:val="Heading3"/>
        <w:rPr>
          <w:b w:val="0"/>
          <w:i w:val="0"/>
          <w:strike w:val="0"/>
        </w:rPr>
      </w:pPr>
      <w:r>
        <w:rPr>
          <w:b/>
          <w:u w:val="none"/>
        </w:rPr>
        <w:t>Transformative Use Creates Different Market Segments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recognizes that transformative uses can create separate market segments that do not overlap with the original work's market. In </w:t>
      </w:r>
      <w:r>
        <w:rPr>
          <w:rFonts w:ascii="Arial" w:eastAsia="Times New Roman" w:hAnsi="Arial" w:cs="Arial"/>
          <w:b w:val="0"/>
          <w:i/>
          <w:strike w:val="0"/>
          <w:color w:val="1D1D1D"/>
          <w:u w:val="none"/>
        </w:rPr>
        <w:t>Castle Rock Entertainment, Inc. v. Carol Publishing Group</w:t>
      </w:r>
      <w:r>
        <w:rPr>
          <w:rFonts w:ascii="Arial" w:eastAsia="Times New Roman" w:hAnsi="Arial" w:cs="Arial"/>
          <w:b w:val="0"/>
          <w:i w:val="0"/>
          <w:strike w:val="0"/>
          <w:color w:val="1D1D1D"/>
          <w:u w:val="none"/>
        </w:rPr>
        <w:t xml:space="preserve">, the court explained that "the more transformative the secondary use, the less likelihood that the secondary use substitutes for the original." </w:t>
      </w:r>
      <w:hyperlink r:id="rId10" w:history="1">
        <w:r>
          <w:pict>
            <v:shape id="_x0000_i103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 xml:space="preserve"> However, the analysis focuses on "whether the secondary use usurps or substitutes for the market of the original work" rather than whether it suppresses or destroys that market. </w:t>
      </w:r>
      <w:hyperlink r:id="rId10" w:history="1">
        <w:r>
          <w:pict>
            <v:shape id="_x0000_i103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Critically, </w:t>
      </w:r>
      <w:r>
        <w:rPr>
          <w:rFonts w:ascii="Arial" w:eastAsia="Times New Roman" w:hAnsi="Arial" w:cs="Arial"/>
          <w:b w:val="0"/>
          <w:i/>
          <w:strike w:val="0"/>
          <w:color w:val="1D1D1D"/>
          <w:u w:val="none"/>
        </w:rPr>
        <w:t>Castle Rock</w:t>
      </w:r>
      <w:r>
        <w:rPr>
          <w:rFonts w:ascii="Arial" w:eastAsia="Times New Roman" w:hAnsi="Arial" w:cs="Arial"/>
          <w:b w:val="0"/>
          <w:i w:val="0"/>
          <w:strike w:val="0"/>
          <w:color w:val="1D1D1D"/>
          <w:u w:val="none"/>
        </w:rPr>
        <w:t xml:space="preserve"> established that "copyright owners may not preempt exploitation of transformative markets" by developing licensing for "parody, news reporting, educational or other transformative uses of its own creative work." </w:t>
      </w:r>
      <w:hyperlink r:id="rId10" w:history="1">
        <w:r>
          <w:pict>
            <v:shape id="_x0000_i103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 xml:space="preserve"> This prevents copyright holders from expanding their licensing reach into markets that should remain available for fair use.</w:t>
        <w:br/>
      </w:r>
    </w:p>
    <w:p>
      <w:pPr>
        <w:pStyle w:val="Heading3"/>
        <w:rPr>
          <w:b w:val="0"/>
          <w:i w:val="0"/>
          <w:strike w:val="0"/>
        </w:rPr>
      </w:pPr>
      <w:r>
        <w:rPr>
          <w:b/>
          <w:u w:val="none"/>
        </w:rPr>
        <w:t>Licensing Markets and Established Markets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Regarding whether defendants can harm non-existent licensing markets, Second Circuit precedent indicates that courts will recognize potential licensing revenues only for markets that are "traditional, reasonable, or likely to be developed." </w:t>
      </w:r>
      <w:hyperlink r:id="rId4" w:history="1">
        <w:r>
          <w:pict>
            <v:shape id="_x0000_i104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American Geophysical Union v. Texaco Inc., 60 F.3d 913 (1994)</w:t>
        </w:r>
      </w:hyperlink>
      <w:r>
        <w:rPr>
          <w:rFonts w:ascii="Arial" w:eastAsia="Times New Roman" w:hAnsi="Arial" w:cs="Arial"/>
          <w:b w:val="0"/>
          <w:i w:val="0"/>
          <w:strike w:val="0"/>
          <w:color w:val="1D1D1D"/>
          <w:u w:val="none"/>
        </w:rPr>
        <w:t xml:space="preserve"> </w:t>
      </w:r>
      <w:hyperlink r:id="rId12" w:history="1">
        <w:r>
          <w:pict>
            <v:shape id="_x0000_i104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3"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 xml:space="preserve"> In </w:t>
      </w:r>
      <w:r>
        <w:rPr>
          <w:rFonts w:ascii="Arial" w:eastAsia="Times New Roman" w:hAnsi="Arial" w:cs="Arial"/>
          <w:b w:val="0"/>
          <w:i/>
          <w:strike w:val="0"/>
          <w:color w:val="1D1D1D"/>
          <w:u w:val="none"/>
        </w:rPr>
        <w:t>Hachette</w:t>
      </w:r>
      <w:r>
        <w:rPr>
          <w:rFonts w:ascii="Arial" w:eastAsia="Times New Roman" w:hAnsi="Arial" w:cs="Arial"/>
          <w:b w:val="0"/>
          <w:i w:val="0"/>
          <w:strike w:val="0"/>
          <w:color w:val="1D1D1D"/>
          <w:u w:val="none"/>
        </w:rPr>
        <w:t xml:space="preserve">, the district court noted that rightsholders bear "only some initial burden of identifying relevant markets" and need not "show actual market harm." </w:t>
      </w:r>
      <w:hyperlink r:id="rId14" w:history="1">
        <w:r>
          <w:rPr>
            <w:rStyle w:val="Hyperlink"/>
            <w:rFonts w:ascii="Arial" w:eastAsia="Times New Roman" w:hAnsi="Arial" w:cs="Arial"/>
            <w:b w:val="0"/>
            <w:i w:val="0"/>
            <w:strike w:val="0"/>
            <w:color w:val="467886"/>
            <w:u w:val="none"/>
          </w:rPr>
          <w:t>Hachette Book Group, Inc. v. Internet Archive, 664 F.Supp.3d 370 (2023)</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court in </w:t>
      </w:r>
      <w:r>
        <w:rPr>
          <w:rFonts w:ascii="Arial" w:eastAsia="Times New Roman" w:hAnsi="Arial" w:cs="Arial"/>
          <w:b w:val="0"/>
          <w:i/>
          <w:strike w:val="0"/>
          <w:color w:val="1D1D1D"/>
          <w:u w:val="none"/>
        </w:rPr>
        <w:t>Bill Graham Archives v. Dorling Kindersley Ltd.</w:t>
      </w:r>
      <w:r>
        <w:rPr>
          <w:rFonts w:ascii="Arial" w:eastAsia="Times New Roman" w:hAnsi="Arial" w:cs="Arial"/>
          <w:b w:val="0"/>
          <w:i w:val="0"/>
          <w:strike w:val="0"/>
          <w:color w:val="1D1D1D"/>
          <w:u w:val="none"/>
        </w:rPr>
        <w:t xml:space="preserve"> clarified that "the fact that a copyright holder has previously secured licenses does not make a given market 'traditional, reasonable, or likely to be developed'" if the use is transformative. </w:t>
      </w:r>
      <w:hyperlink r:id="rId15" w:history="1">
        <w:r>
          <w:pict>
            <v:shape id="_x0000_i104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6" w:history="1">
        <w:r>
          <w:rPr>
            <w:rStyle w:val="Hyperlink"/>
            <w:rFonts w:ascii="Arial" w:eastAsia="Times New Roman" w:hAnsi="Arial" w:cs="Arial"/>
            <w:b w:val="0"/>
            <w:i w:val="0"/>
            <w:strike w:val="0"/>
            <w:color w:val="467886"/>
            <w:u w:val="none"/>
          </w:rPr>
          <w:t>Bill Graham Archives, LLC. v. Dorling Kindersley Ltd., 386 F.Supp.2d 324 (2005)</w:t>
        </w:r>
      </w:hyperlink>
      <w:r>
        <w:rPr>
          <w:rFonts w:ascii="Arial" w:eastAsia="Times New Roman" w:hAnsi="Arial" w:cs="Arial"/>
          <w:b w:val="0"/>
          <w:i w:val="0"/>
          <w:strike w:val="0"/>
          <w:color w:val="1D1D1D"/>
          <w:u w:val="none"/>
        </w:rPr>
        <w:t xml:space="preserve"> This prevents copyright holders from claiming ownership over transformative markets simply by attempting to license such uses.</w:t>
        <w:br/>
      </w:r>
    </w:p>
    <w:p>
      <w:pPr>
        <w:pStyle w:val="Heading3"/>
        <w:rPr>
          <w:b w:val="0"/>
          <w:i w:val="0"/>
          <w:strike w:val="0"/>
        </w:rPr>
      </w:pPr>
      <w:r>
        <w:rPr>
          <w:b/>
          <w:u w:val="none"/>
        </w:rPr>
        <w:t>Burden of Proof and Market Identification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Under Second Circuit precedent, plaintiffs must identify relevant traditional, reasonable, or likely-to-be-developed markets, but defendants bear the burden to demonstrate lack of market harm once those markets are identified. </w:t>
      </w:r>
      <w:hyperlink r:id="rId14" w:history="1">
        <w:r>
          <w:rPr>
            <w:rStyle w:val="Hyperlink"/>
            <w:rFonts w:ascii="Arial" w:eastAsia="Times New Roman" w:hAnsi="Arial" w:cs="Arial"/>
            <w:b w:val="0"/>
            <w:i w:val="0"/>
            <w:strike w:val="0"/>
            <w:color w:val="467886"/>
            <w:u w:val="none"/>
          </w:rPr>
          <w:t>Hachette Book Group, Inc. v. Internet Archive, 664 F.Supp.3d 370 (2023)</w:t>
        </w:r>
      </w:hyperlink>
      <w:r>
        <w:rPr>
          <w:rFonts w:ascii="Arial" w:eastAsia="Times New Roman" w:hAnsi="Arial" w:cs="Arial"/>
          <w:b w:val="0"/>
          <w:i w:val="0"/>
          <w:strike w:val="0"/>
          <w:color w:val="1D1D1D"/>
          <w:u w:val="none"/>
        </w:rPr>
        <w:t xml:space="preserve"> Courts examine whether "widespread adoption of the secondary use" would cause substantial harm to licensing revenues, applying a "substantial economic harm" standard rather than requiring proof of actual lost sales. </w:t>
      </w:r>
      <w:hyperlink r:id="rId17" w:history="1">
        <w:r>
          <w:pict>
            <v:shape id="_x0000_i104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8" w:history="1">
        <w:r>
          <w:rPr>
            <w:rStyle w:val="Hyperlink"/>
            <w:rFonts w:ascii="Arial" w:eastAsia="Times New Roman" w:hAnsi="Arial" w:cs="Arial"/>
            <w:b w:val="0"/>
            <w:i w:val="0"/>
            <w:strike w:val="0"/>
            <w:color w:val="467886"/>
            <w:u w:val="none"/>
          </w:rPr>
          <w:t>Authors Guild v. Google, Inc., 804 F.3d 202 (2015)</w:t>
        </w:r>
      </w:hyperlink>
    </w:p>
    <w:p w:rsidR="000911FB" w:rsidRPr="00E5063B" w:rsidP="000911FB" w14:paraId="5F10F1E7" w14:textId="77777777">
      <w:pPr>
        <w:pStyle w:val="Report-Body"/>
      </w:pP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relevant market for the fourth fair use factor typically focuses on the plaintiff’s potential licensing market rather than a broad market encompassing all educational materials. Courts require evidence that this licensing market is traditional, reasonable, or likely to be developed; mere theoretical potential markets are insufficient. The Second Circuit holds the market includes potential derivative uses creators would generally exploit or license. Transformative uses typically do not serve as market substitutes and thus do not cause cognizable market harm under the fourth factor, as such uses create different market segments with distinct expressive purposes. Nonetheless, transformative uses can still harm derivative markets if they are widespread and reveal significant portions that compete with or usurp licensing opportunities for the original work. The burden initially lies with the copyright holder to identify the relevant market, particularly licensing markets. If established, the defendant must then show lack of market harm. Where no established licensing market exists, courts may weigh this factor in favor of the defendant, but absence of market harm alone does not guarantee a finding of fair use. Thus, market harm relates primarily to established licensing markets, factoring whether the secondary use acts as a substitute or impacts reasonable potential markets for derivative uses </w:t>
      </w:r>
      <w:hyperlink r:id="rId19" w:history="1">
        <w:r>
          <w:rPr>
            <w:rStyle w:val="Hyperlink"/>
            <w:rFonts w:ascii="Arial" w:eastAsia="Times New Roman" w:hAnsi="Arial" w:cs="Arial"/>
            <w:b w:val="0"/>
            <w:i w:val="0"/>
            <w:strike w:val="0"/>
            <w:color w:val="467886"/>
            <w:u w:val="none"/>
          </w:rPr>
          <w:t>PATRYCOPY § 10:151</w:t>
        </w:r>
      </w:hyperlink>
      <w:r>
        <w:rPr>
          <w:rFonts w:ascii="Arial" w:eastAsia="Times New Roman" w:hAnsi="Arial" w:cs="Arial"/>
          <w:b w:val="0"/>
          <w:i w:val="0"/>
          <w:strike w:val="0"/>
          <w:color w:val="1D1D1D"/>
          <w:u w:val="none"/>
        </w:rPr>
        <w:t xml:space="preserve">, </w:t>
      </w:r>
      <w:hyperlink r:id="rId20" w:history="1">
        <w:r>
          <w:rPr>
            <w:rStyle w:val="Hyperlink"/>
            <w:rFonts w:ascii="Arial" w:eastAsia="Times New Roman" w:hAnsi="Arial" w:cs="Arial"/>
            <w:b w:val="0"/>
            <w:i w:val="0"/>
            <w:strike w:val="0"/>
            <w:color w:val="467886"/>
            <w:u w:val="none"/>
          </w:rPr>
          <w:t>77 AMJUR TRIALS 449</w:t>
        </w:r>
      </w:hyperlink>
      <w:r>
        <w:rPr>
          <w:rFonts w:ascii="Arial" w:eastAsia="Times New Roman" w:hAnsi="Arial" w:cs="Arial"/>
          <w:b w:val="0"/>
          <w:i w:val="0"/>
          <w:strike w:val="0"/>
          <w:color w:val="1D1D1D"/>
          <w:u w:val="none"/>
        </w:rPr>
        <w:t xml:space="preserve">, </w:t>
      </w:r>
      <w:hyperlink r:id="rId21" w:history="1">
        <w:r>
          <w:rPr>
            <w:rStyle w:val="Hyperlink"/>
            <w:rFonts w:ascii="Arial" w:eastAsia="Times New Roman" w:hAnsi="Arial" w:cs="Arial"/>
            <w:b w:val="0"/>
            <w:i w:val="0"/>
            <w:strike w:val="0"/>
            <w:color w:val="467886"/>
            <w:u w:val="none"/>
          </w:rPr>
          <w:t>PATRYFAIR § 6:13</w:t>
        </w:r>
      </w:hyperlink>
      <w:r>
        <w:rPr>
          <w:rFonts w:ascii="Arial" w:eastAsia="Times New Roman" w:hAnsi="Arial" w:cs="Arial"/>
          <w:b w:val="0"/>
          <w:i w:val="0"/>
          <w:strike w:val="0"/>
          <w:color w:val="1D1D1D"/>
          <w:u w:val="none"/>
        </w:rPr>
        <w:t>.</w:t>
        <w:br/>
      </w: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4"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14</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45" type="#_x0000_t75" alt="KeyCite Yellow Flag" style="width:16pt;height:16pt">
              <v:imagedata r:id="rId5" o:title=""/>
            </v:shape>
          </w:pict>
        </w:r>
      </w:hyperlink>
      <w:r>
        <w:t xml:space="preserve"> </w:t>
      </w:r>
      <w:hyperlink r:id="rId6" w:history="1">
        <w:r>
          <w:rPr>
            <w:rStyle w:val="Hyperlink"/>
            <w:b/>
            <w:i w:val="0"/>
            <w:strike w:val="0"/>
            <w:color w:val="467886"/>
            <w:u w:val="single"/>
          </w:rPr>
          <w:t>American Geophysical Union v. Texaco Inc.</w:t>
        </w:r>
      </w:hyperlink>
    </w:p>
    <w:p w:rsidR="000911FB" w:rsidRPr="00C67A9D" w:rsidP="000911FB" w14:paraId="778AA143"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28, 1994</w:t>
      </w:r>
      <w:r w:rsidRPr="00C67A9D">
        <w:rPr>
          <w:b w:val="0"/>
          <w:bCs w:val="0"/>
        </w:rPr>
        <w:t xml:space="preserve">   •   </w:t>
      </w:r>
      <w:r>
        <w:rPr>
          <w:b/>
          <w:i w:val="0"/>
          <w:strike w:val="0"/>
        </w:rPr>
        <w:t>60 F.3d 913</w:t>
      </w:r>
      <w:r w:rsidRPr="00C67A9D">
        <w:rPr>
          <w:b w:val="0"/>
          <w:bCs w:val="0"/>
        </w:rPr>
        <w:t xml:space="preserve">   •   </w:t>
      </w:r>
      <w:r>
        <w:rPr>
          <w:b/>
          <w:i w:val="0"/>
          <w:strike w:val="0"/>
        </w:rPr>
        <w:t>1994 WL 814622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only impacts on "traditional, reasonable, or likely to be developed markets" are legally cognizable under Factor 4</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7" w:history="1">
        <w:r>
          <w:pict>
            <v:shape id="_x0000_i1046" type="#_x0000_t75" alt="KeyCite Yellow Flag" style="width:16pt;height:16pt">
              <v:imagedata r:id="rId5" o:title=""/>
            </v:shape>
          </w:pict>
        </w:r>
      </w:hyperlink>
      <w:r>
        <w:t xml:space="preserve"> </w:t>
      </w:r>
      <w:hyperlink r:id="rId8" w:history="1">
        <w:r>
          <w:rPr>
            <w:rStyle w:val="Hyperlink"/>
            <w:b/>
            <w:i w:val="0"/>
            <w:strike w:val="0"/>
            <w:color w:val="467886"/>
            <w:u w:val="single"/>
          </w:rPr>
          <w:t>Hachette Book Group, Inc. v. Internet Archive</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September 04, 2024</w:t>
      </w:r>
      <w:r w:rsidRPr="00C67A9D">
        <w:rPr>
          <w:b w:val="0"/>
          <w:bCs w:val="0"/>
        </w:rPr>
        <w:t xml:space="preserve">   •   </w:t>
      </w:r>
      <w:r>
        <w:rPr>
          <w:b/>
          <w:i w:val="0"/>
          <w:strike w:val="0"/>
        </w:rPr>
        <w:t>115 F.4th 163</w:t>
      </w:r>
      <w:r w:rsidRPr="00C67A9D">
        <w:rPr>
          <w:b w:val="0"/>
          <w:bCs w:val="0"/>
        </w:rPr>
        <w:t xml:space="preserve">   •   </w:t>
      </w:r>
      <w:r>
        <w:rPr>
          <w:b/>
          <w:i w:val="0"/>
          <w:strike w:val="0"/>
        </w:rPr>
        <w:t>2024 WL 4031751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relevant market was "market for books in general, regardless of format" and finding library ebook licensing market harm in educational context</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...Holdings: The Court of Appeals, Robinson, Circuit Judge, held that: library's use of publishers' books was not transformative; library's use of publishers' books was not commercial; the first factor of the fair-use defense, the purpose and character of the secondary use, favored publishers; the second factor of the fair-use defense, the nature of the copyrighted work, favored publishers; the third factor of the fair-use defense, the amount and substantiality of the portion of a copyrighted work that is used, favored publishers; the relevant</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...A. IA does not disprove market harm. We agree with Publishers' assessment of market harm. "It is indisputable that, as a general matter, a copyright holder is entitled to demand a royalty for licensing others to use its copyrighted work, and that the impact on potential licensing revenues is a proper subject for consideration in assessing the fourth factor." Bill Graham Archives v. Dorling Kindersley Ltd., 448 F.3d 605, 614 (2d Cir. 2006). While "only an impact on potential licensing revenues for traditional, reasonable, or likely to be developed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9" w:history="1">
        <w:r>
          <w:rPr>
            <w:rStyle w:val="Hyperlink"/>
            <w:b/>
            <w:i w:val="0"/>
            <w:strike w:val="0"/>
            <w:color w:val="467886"/>
            <w:u w:val="single"/>
          </w:rPr>
          <w:t>§ 107. Limitations on exclusive rights:  Fair use</w:t>
        </w:r>
      </w:hyperlink>
    </w:p>
    <w:p w:rsidR="000911FB" w:rsidRPr="00C67A9D" w:rsidP="000911FB" w14:textId="43CA2655">
      <w:pPr>
        <w:pStyle w:val="Report-Metadata"/>
        <w:rPr>
          <w:b w:val="0"/>
          <w:bCs w:val="0"/>
        </w:rPr>
      </w:pPr>
      <w:r>
        <w:rPr>
          <w:b/>
          <w:i w:val="0"/>
          <w:strike w:val="0"/>
        </w:rPr>
        <w:t>17 USCA § 107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Fair use statute establishing four-factor analysis including "effect of the use upon the potential market for or value of the copyrighted work"</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hyperlink r:id="rId10" w:history="1">
        <w:r>
          <w:pict>
            <v:shape id="_x0000_i1047" type="#_x0000_t75" alt="KeyCite Yellow Flag" style="width:16pt;height:16pt">
              <v:imagedata r:id="rId5" o:title=""/>
            </v:shape>
          </w:pict>
        </w:r>
      </w:hyperlink>
      <w:r>
        <w:t xml:space="preserve"> </w:t>
      </w:r>
      <w:hyperlink r:id="rId11" w:history="1">
        <w:r>
          <w:rPr>
            <w:rStyle w:val="Hyperlink"/>
            <w:b/>
            <w:i w:val="0"/>
            <w:strike w:val="0"/>
            <w:color w:val="467886"/>
            <w:u w:val="single"/>
          </w:rPr>
          <w:t>Castle Rock Entertainment, Inc. v. Carol Pub. Group, Inc.</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July 10, 1998</w:t>
      </w:r>
      <w:r w:rsidRPr="00C67A9D">
        <w:rPr>
          <w:b w:val="0"/>
          <w:bCs w:val="0"/>
        </w:rPr>
        <w:t xml:space="preserve">   •   </w:t>
      </w:r>
      <w:r>
        <w:rPr>
          <w:b/>
          <w:i w:val="0"/>
          <w:strike w:val="0"/>
        </w:rPr>
        <w:t>150 F.3d 132</w:t>
      </w:r>
      <w:r w:rsidRPr="00C67A9D">
        <w:rPr>
          <w:b w:val="0"/>
          <w:bCs w:val="0"/>
        </w:rPr>
        <w:t xml:space="preserve">   •   </w:t>
      </w:r>
      <w:r>
        <w:rPr>
          <w:b/>
          <w:i w:val="0"/>
          <w:strike w:val="0"/>
        </w:rPr>
        <w:t>1998 WL 385465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Distinguishing market substitution from market destruction and establishing limits on copyright holder's ability to preempt transformative markets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...D. Effect of Use Upon Potential Market for or Value of Copyrighted Work. Just as secondary users may not exploit markets that original copyright owners would "in general develop or license others to develop" even if those owners had not actually done so, copyright owners may not preempt exploitation of transformative markets, which they would not "in general develop or license others to develop," by actually developing or licensing others to develop those markets. Thus, by developing or licensing a market for parody, news reporting, educational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hyperlink r:id="rId12" w:history="1">
        <w:r>
          <w:pict>
            <v:shape id="_x0000_i1048" type="#_x0000_t75" alt="KeyCite Yellow Flag" style="width:16pt;height:16pt">
              <v:imagedata r:id="rId5" o:title=""/>
            </v:shape>
          </w:pict>
        </w:r>
      </w:hyperlink>
      <w:r>
        <w:t xml:space="preserve"> </w:t>
      </w:r>
      <w:hyperlink r:id="rId13" w:history="1">
        <w:r>
          <w:rPr>
            <w:rStyle w:val="Hyperlink"/>
            <w:b/>
            <w:i w:val="0"/>
            <w:strike w:val="0"/>
            <w:color w:val="467886"/>
            <w:u w:val="single"/>
          </w:rPr>
          <w:t>TCA Television Corp. v. McCollum</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11, 2016</w:t>
      </w:r>
      <w:r w:rsidRPr="00C67A9D">
        <w:rPr>
          <w:b w:val="0"/>
          <w:bCs w:val="0"/>
        </w:rPr>
        <w:t xml:space="preserve">   •   </w:t>
      </w:r>
      <w:r>
        <w:rPr>
          <w:b/>
          <w:i w:val="0"/>
          <w:strike w:val="0"/>
        </w:rPr>
        <w:t>839 F.3d 168</w:t>
      </w:r>
      <w:r w:rsidRPr="00C67A9D">
        <w:rPr>
          <w:b w:val="0"/>
          <w:bCs w:val="0"/>
        </w:rPr>
        <w:t xml:space="preserve">   •   </w:t>
      </w:r>
      <w:r>
        <w:rPr>
          <w:b/>
          <w:i w:val="0"/>
          <w:strike w:val="0"/>
        </w:rPr>
        <w:t>2016 WL 5899174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Recognizing that derivative markets include uses creators might "license others to develop" and that licensing revenue impact is proper Factor 4 consideration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r>
        <w:t xml:space="preserve"> </w:t>
      </w:r>
      <w:hyperlink r:id="rId14" w:history="1">
        <w:r>
          <w:rPr>
            <w:rStyle w:val="Hyperlink"/>
            <w:b/>
            <w:i w:val="0"/>
            <w:strike w:val="0"/>
            <w:color w:val="467886"/>
            <w:u w:val="single"/>
          </w:rPr>
          <w:t>Hachette Book Group, Inc. v. Internet Archive</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March 24, 2023</w:t>
      </w:r>
      <w:r w:rsidRPr="00C67A9D">
        <w:rPr>
          <w:b w:val="0"/>
          <w:bCs w:val="0"/>
        </w:rPr>
        <w:t xml:space="preserve">   •   </w:t>
      </w:r>
      <w:r>
        <w:rPr>
          <w:b/>
          <w:i w:val="0"/>
          <w:strike w:val="0"/>
        </w:rPr>
        <w:t>664 F.Supp.3d 370</w:t>
      </w:r>
      <w:r w:rsidRPr="00C67A9D">
        <w:rPr>
          <w:b w:val="0"/>
          <w:bCs w:val="0"/>
        </w:rPr>
        <w:t xml:space="preserve">   •   </w:t>
      </w:r>
      <w:r>
        <w:rPr>
          <w:b/>
          <w:i w:val="0"/>
          <w:strike w:val="0"/>
        </w:rPr>
        <w:t>2023 WL 2623787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Clarifying that rightsholders bear only initial burden of identifying relevant markets without showing actual market harm</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...When fair use defense is raised in copyright infringement action, rightsholder bears only some initial burden of identifying relevant markets, and alleged infringer bears burden to show lack of market harm....</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hyperlink r:id="rId15" w:history="1">
        <w:r>
          <w:pict>
            <v:shape id="_x0000_i1049" type="#_x0000_t75" alt="KeyCite Yellow Flag" style="width:16pt;height:16pt">
              <v:imagedata r:id="rId5" o:title=""/>
            </v:shape>
          </w:pict>
        </w:r>
      </w:hyperlink>
      <w:r>
        <w:t xml:space="preserve"> </w:t>
      </w:r>
      <w:hyperlink r:id="rId16" w:history="1">
        <w:r>
          <w:rPr>
            <w:rStyle w:val="Hyperlink"/>
            <w:b/>
            <w:i w:val="0"/>
            <w:strike w:val="0"/>
            <w:color w:val="467886"/>
            <w:u w:val="single"/>
          </w:rPr>
          <w:t>Bill Graham Archives, LLC. v. Dorling Kindersley Ltd.</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May 12, 2005</w:t>
      </w:r>
      <w:r w:rsidRPr="00C67A9D">
        <w:rPr>
          <w:b w:val="0"/>
          <w:bCs w:val="0"/>
        </w:rPr>
        <w:t xml:space="preserve">   •   </w:t>
      </w:r>
      <w:r>
        <w:rPr>
          <w:b/>
          <w:i w:val="0"/>
          <w:strike w:val="0"/>
        </w:rPr>
        <w:t>386 F.Supp.2d 324</w:t>
      </w:r>
      <w:r w:rsidRPr="00C67A9D">
        <w:rPr>
          <w:b w:val="0"/>
          <w:bCs w:val="0"/>
        </w:rPr>
        <w:t xml:space="preserve">   •   </w:t>
      </w:r>
      <w:r>
        <w:rPr>
          <w:b/>
          <w:i w:val="0"/>
          <w:strike w:val="0"/>
        </w:rPr>
        <w:t>2005 WL 1137878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prior licensing activity does not automatically establish traditional market for transformative uses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...4. The Effect upon the Potential Market for the Copyrighted Work. Accordingly, "(o)nly an impact on potential licensing revenues for traditional, reasonable, or likely to be developed markets should be legally cognizable" for this factor. American Geophysical Union v. Texaco Inc., 60 F.3d 913, 930 (2d Cir.1994). This extends not only to the exclusive right of reproduction in a work, but also to the right to create derivative works. See, i.e., Twin Peaks Productions v. Publications Int'l Ltd., 996 F.2d 1366, 1377 (2d Cir.1993); Paramount Pictures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hyperlink r:id="rId17" w:history="1">
        <w:r>
          <w:pict>
            <v:shape id="_x0000_i1050" type="#_x0000_t75" alt="KeyCite Yellow Flag" style="width:16pt;height:16pt">
              <v:imagedata r:id="rId5" o:title=""/>
            </v:shape>
          </w:pict>
        </w:r>
      </w:hyperlink>
      <w:r>
        <w:t xml:space="preserve"> </w:t>
      </w:r>
      <w:hyperlink r:id="rId18" w:history="1">
        <w:r>
          <w:rPr>
            <w:rStyle w:val="Hyperlink"/>
            <w:b/>
            <w:i w:val="0"/>
            <w:strike w:val="0"/>
            <w:color w:val="467886"/>
            <w:u w:val="single"/>
          </w:rPr>
          <w:t>Authors Guild v. Google, Inc.</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16, 2015</w:t>
      </w:r>
      <w:r w:rsidRPr="00C67A9D">
        <w:rPr>
          <w:b w:val="0"/>
          <w:bCs w:val="0"/>
        </w:rPr>
        <w:t xml:space="preserve">   •   </w:t>
      </w:r>
      <w:r>
        <w:rPr>
          <w:b/>
          <w:i w:val="0"/>
          <w:strike w:val="0"/>
        </w:rPr>
        <w:t>804 F.3d 202</w:t>
      </w:r>
      <w:r w:rsidRPr="00C67A9D">
        <w:rPr>
          <w:b w:val="0"/>
          <w:bCs w:val="0"/>
        </w:rPr>
        <w:t xml:space="preserve">   •   </w:t>
      </w:r>
      <w:r>
        <w:rPr>
          <w:b/>
          <w:i w:val="0"/>
          <w:strike w:val="0"/>
        </w:rPr>
        <w:t>2015 WL 6079426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substantial economic harm standard and market substitution analysis for Factor 4</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9" w:history="1">
        <w:r>
          <w:rPr>
            <w:rStyle w:val="Hyperlink"/>
            <w:b/>
            <w:i w:val="0"/>
            <w:strike w:val="0"/>
            <w:color w:val="467886"/>
            <w:u w:val="single"/>
          </w:rPr>
          <w:t>§ 10:151. Identifying the relevant potential market for the copyrighted work</w:t>
        </w:r>
      </w:hyperlink>
    </w:p>
    <w:p w:rsidR="000911FB" w:rsidRPr="00C67A9D" w:rsidP="000911FB" w14:textId="43CA2655">
      <w:pPr>
        <w:pStyle w:val="Report-Metadata"/>
        <w:rPr>
          <w:b w:val="0"/>
          <w:bCs w:val="0"/>
        </w:rPr>
      </w:pPr>
      <w:r>
        <w:rPr>
          <w:b/>
          <w:i w:val="0"/>
          <w:strike w:val="0"/>
        </w:rPr>
        <w:t>Patry on Copyright</w:t>
      </w:r>
      <w:r w:rsidRPr="00C67A9D">
        <w:rPr>
          <w:b w:val="0"/>
          <w:bCs w:val="0"/>
        </w:rPr>
        <w:t xml:space="preserve">   •   </w:t>
      </w:r>
      <w:r>
        <w:rPr>
          <w:b/>
          <w:i w:val="0"/>
          <w:strike w:val="0"/>
        </w:rPr>
        <w:t>PATRYCOPY § 10:151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...By contrast, in a case involving insubstantial copying of excerpts of a video clip of a hip hop song made by players of the Chicago Bears before the 985 Superbowl in a 2016 documentary about the team's entire year, the court acknowledged that the copyright owner could license clips but still, and correctly, weighed the fourth factor in defendant's favor:[12]In this case, the plaintiffs do not argue that ‘85: The Greatest Team in Football History affected the market for full recordings, whether they be audio or audiovisual, of the Super Bowl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20" w:history="1">
        <w:r>
          <w:rPr>
            <w:rStyle w:val="Hyperlink"/>
            <w:b/>
            <w:i w:val="0"/>
            <w:strike w:val="0"/>
            <w:color w:val="467886"/>
            <w:u w:val="single"/>
          </w:rPr>
          <w:t>Copyright Infringement Litigation</w:t>
        </w:r>
      </w:hyperlink>
    </w:p>
    <w:p w:rsidR="000911FB" w:rsidRPr="00C67A9D" w:rsidP="000911FB" w14:textId="43CA2655">
      <w:pPr>
        <w:pStyle w:val="Report-Metadata"/>
        <w:rPr>
          <w:b w:val="0"/>
          <w:bCs w:val="0"/>
        </w:rPr>
      </w:pPr>
      <w:r>
        <w:rPr>
          <w:b/>
          <w:i w:val="0"/>
          <w:strike w:val="0"/>
        </w:rPr>
        <w:t>American Jurisprudence Trials</w:t>
      </w:r>
      <w:r w:rsidRPr="00C67A9D">
        <w:rPr>
          <w:b w:val="0"/>
          <w:bCs w:val="0"/>
        </w:rPr>
        <w:t xml:space="preserve">   •   </w:t>
      </w:r>
      <w:r>
        <w:rPr>
          <w:b/>
          <w:i w:val="0"/>
          <w:strike w:val="0"/>
        </w:rPr>
        <w:t>77 AMJUR TRIALS 449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...In the context of the fourth statutory fair use factor under copyright law, the effect of the secondary use upon the potential market for the value of the copyrighted work, the market for potential derivative uses includes only those that creators of original works would in general develop or license others to develop. 17 U.S.C.A. § 107. Cariou v. Prince, 714 F.3 d 694, 106 U.S.P.Q.2 d 1497 (2 d Cir. 2013)....</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...News outlet's use of copyright owner's video of starving polar bear in online article about video's popularity without first obtaining license, if widespread, would harm the licensing market for video, and therefore factor of effect of use on the market weighed against finding outlet's fair use of video; widespread adoption of outlet's use could overtake market for video and owner had licensed video to almost two dozen entities in the United States and around the world. 17 U.S.C.A. § 107. Nicklen v. Sinclair Broadcast Group, Inc., 551 F. Supp.</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11</w:t>
      </w:r>
      <w:r w:rsidRPr="00755B14">
        <w:rPr>
          <w:b/>
          <w:bCs/>
        </w:rPr>
        <w:t>.</w:t>
      </w:r>
      <w:r>
        <w:t xml:space="preserve"> </w:t>
      </w:r>
      <w:r>
        <w:t xml:space="preserve"> </w:t>
      </w:r>
      <w:hyperlink r:id="rId21" w:history="1">
        <w:r>
          <w:rPr>
            <w:rStyle w:val="Hyperlink"/>
            <w:b/>
            <w:i w:val="0"/>
            <w:strike w:val="0"/>
            <w:color w:val="467886"/>
            <w:u w:val="single"/>
          </w:rPr>
          <w:t>§ 6:13. Lack of harm does not by itself result in fair use</w:t>
        </w:r>
      </w:hyperlink>
    </w:p>
    <w:p w:rsidR="000911FB" w:rsidRPr="00C67A9D" w:rsidP="000911FB" w14:textId="43CA2655">
      <w:pPr>
        <w:pStyle w:val="Report-Metadata"/>
        <w:rPr>
          <w:b w:val="0"/>
          <w:bCs w:val="0"/>
        </w:rPr>
      </w:pPr>
      <w:r>
        <w:rPr>
          <w:b/>
          <w:i w:val="0"/>
          <w:strike w:val="0"/>
        </w:rPr>
        <w:t>Patry on Fair Use</w:t>
      </w:r>
      <w:r w:rsidRPr="00C67A9D">
        <w:rPr>
          <w:b w:val="0"/>
          <w:bCs w:val="0"/>
        </w:rPr>
        <w:t xml:space="preserve">   •   </w:t>
      </w:r>
      <w:r>
        <w:rPr>
          <w:b/>
          <w:i w:val="0"/>
          <w:strike w:val="0"/>
        </w:rPr>
        <w:t>PATRYFAIR § 6:13</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...The HathiTrust decision also states, “The only market harms that count are the ones that are caused because the secondary use serves as a substitute for the original, not when the secondary use is transformative ….” 755 F.3 d at 99. This, too, is incorrect, and led to concerns that the term “transformative” had swallowed up the right to prepare derivative works. A movie that copied a material part of a novel would not be a market substitute for the novel, but it surely would harm, if not kill, the novelist's ability to license for such a lucrative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12</w:t>
      </w:r>
      <w:r w:rsidRPr="00755B14">
        <w:rPr>
          <w:b/>
          <w:bCs/>
        </w:rPr>
        <w:t>.</w:t>
      </w:r>
      <w:r w:rsidRPr="00E5063B">
        <w:t xml:space="preserve"> </w:t>
      </w:r>
      <w:r>
        <w:t xml:space="preserve"> </w:t>
      </w:r>
      <w:hyperlink r:id="rId22" w:history="1">
        <w:r>
          <w:rPr>
            <w:rStyle w:val="Hyperlink"/>
            <w:b/>
            <w:i w:val="0"/>
            <w:strike w:val="0"/>
            <w:color w:val="467886"/>
            <w:u w:val="single"/>
          </w:rPr>
          <w:t>Copyright Fair Use</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discussing the fair use doctrine under US copyright law. This Note provides an overview of the constitutional basis and policy rationales for the fair use doctrine and the Copyright Act's provisions governing fair use. This Note explores the practical and strategic considerations for counsel advising clients on fair use and litigating related issues. It discusses the judicial weighing of fair use factors, including the purpose and character of use, nature of the copyrighted work, amount and substantiality of the portion used, and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13</w:t>
      </w:r>
      <w:r w:rsidRPr="00755B14">
        <w:rPr>
          <w:b/>
          <w:bCs/>
        </w:rPr>
        <w:t>.</w:t>
      </w:r>
      <w:r w:rsidRPr="00E5063B">
        <w:t xml:space="preserve"> </w:t>
      </w:r>
      <w:r>
        <w:t xml:space="preserve"> </w:t>
      </w:r>
      <w:hyperlink r:id="rId23" w:history="1">
        <w:r>
          <w:rPr>
            <w:rStyle w:val="Hyperlink"/>
            <w:b/>
            <w:i w:val="0"/>
            <w:strike w:val="0"/>
            <w:color w:val="467886"/>
            <w:u w:val="single"/>
          </w:rPr>
          <w:t>Copyright Litigation: Third Circuit Infringement Claims and Defenses Law Checklist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describing the applicable law affecting the likelihood of confusion analysis in a trademark infringement action in the US Court of Appeals for the Third Circuit (and district courts in the circuit). This Checklist serves as a practical resource for counsel seeking legal authority to support cease and desist letters, briefs, and legal memoranda governed by Third Circuit law. This resource provides guidance on the overall analytical framework, including which factors are considered most important and how to evaluate them. It also addresses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14</w:t>
      </w:r>
      <w:r w:rsidRPr="00755B14">
        <w:rPr>
          <w:b/>
          <w:bCs/>
        </w:rPr>
        <w:t>.</w:t>
      </w:r>
      <w:r w:rsidRPr="00E5063B">
        <w:t xml:space="preserve"> </w:t>
      </w:r>
      <w:r>
        <w:t xml:space="preserve"> </w:t>
      </w:r>
      <w:hyperlink r:id="rId24" w:history="1">
        <w:r>
          <w:rPr>
            <w:rStyle w:val="Hyperlink"/>
            <w:b/>
            <w:i w:val="0"/>
            <w:strike w:val="0"/>
            <w:color w:val="467886"/>
            <w:u w:val="single"/>
          </w:rPr>
          <w:t>Market Definition Under the Sherman Act</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that provides guidance on defining a relevant market for claims brought under Sections 1 and 2 of the Sherman Act. This Practice Note explains why market definition is a critical and often dispositive element in antitrust cases, as it is required to evaluate whether a defendant has market or monopoly power. It outlines the core components of market definition, covering both the relevant product market and the relevant geographic market. It also details key legal concepts courts use to determine the relevant market, such as reasonable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Analyzing the statutory language of 17 U.S.C. § 107 Factor 4 regarding "effect of the use upon the potential market for or value of the copyrighted work" to determine textual guidance on market definition.</w:t>
      </w:r>
    </w:p>
    <w:p>
      <w:pPr>
        <w:numPr>
          <w:ilvl w:val="1"/>
          <w:numId w:val="34"/>
        </w:numPr>
        <w:rPr>
          <w:b w:val="0"/>
          <w:i w:val="0"/>
          <w:strike w:val="0"/>
        </w:rPr>
      </w:pPr>
      <w:r>
        <w:rPr>
          <w:rFonts w:ascii="Arial" w:eastAsia="Times New Roman" w:hAnsi="Arial" w:cs="Arial"/>
          <w:b w:val="0"/>
          <w:i w:val="0"/>
          <w:strike w:val="0"/>
          <w:color w:val="1D1D1D"/>
        </w:rPr>
        <w:t>17 U.S.C. § 107 Factor 4 examines "effect of the use upon the potential market for or value of the copyrighted work." Statutory text establishes broad framework examining economic impact on multiple potential markets, requiring courts to distinguish between cognizable and non-cognizable harms.</w:t>
      </w:r>
    </w:p>
    <w:p>
      <w:pPr>
        <w:numPr>
          <w:ilvl w:val="0"/>
          <w:numId w:val="34"/>
        </w:numPr>
        <w:rPr>
          <w:b w:val="0"/>
          <w:i w:val="0"/>
          <w:strike w:val="0"/>
        </w:rPr>
      </w:pPr>
      <w:r>
        <w:rPr>
          <w:rFonts w:ascii="Arial" w:eastAsia="Times New Roman" w:hAnsi="Arial" w:cs="Arial"/>
          <w:b w:val="0"/>
          <w:i w:val="0"/>
          <w:strike w:val="0"/>
          <w:color w:val="1D1D1D"/>
        </w:rPr>
        <w:t>Researching Second Circuit precedent interpreting the scope of "potential market" under Factor 4, specifically examining whether courts focus on the plaintiff's actual licensing practices or broader market categories.</w:t>
      </w:r>
    </w:p>
    <w:p>
      <w:pPr>
        <w:numPr>
          <w:ilvl w:val="1"/>
          <w:numId w:val="34"/>
        </w:numPr>
        <w:rPr>
          <w:b w:val="0"/>
          <w:i w:val="0"/>
          <w:strike w:val="0"/>
        </w:rPr>
      </w:pPr>
      <w:r>
        <w:rPr>
          <w:rFonts w:ascii="Arial" w:eastAsia="Times New Roman" w:hAnsi="Arial" w:cs="Arial"/>
          <w:b w:val="0"/>
          <w:i w:val="0"/>
          <w:strike w:val="0"/>
          <w:color w:val="1D1D1D"/>
        </w:rPr>
        <w:t>2nd Circuit focuses on "traditional, reasonable, or likely to be developed markets" (American Geophysical Union). Market harm analysis considers licensing markets that copyright holders would "in general develop or license others to develop" rather than just plaintiff's actual practices.</w:t>
      </w:r>
    </w:p>
    <w:p>
      <w:pPr>
        <w:numPr>
          <w:ilvl w:val="0"/>
          <w:numId w:val="34"/>
        </w:numPr>
        <w:rPr>
          <w:b w:val="0"/>
          <w:i w:val="0"/>
          <w:strike w:val="0"/>
        </w:rPr>
      </w:pPr>
      <w:r>
        <w:rPr>
          <w:rFonts w:ascii="Arial" w:eastAsia="Times New Roman" w:hAnsi="Arial" w:cs="Arial"/>
          <w:b w:val="0"/>
          <w:i w:val="0"/>
          <w:strike w:val="0"/>
          <w:color w:val="1D1D1D"/>
        </w:rPr>
        <w:t>Examining Second Circuit cases involving educational fair use claims to determine how courts define the relevant market when educational materials are involved in the alleged infringement.</w:t>
      </w:r>
    </w:p>
    <w:p>
      <w:pPr>
        <w:numPr>
          <w:ilvl w:val="1"/>
          <w:numId w:val="34"/>
        </w:numPr>
        <w:rPr>
          <w:b w:val="0"/>
          <w:i w:val="0"/>
          <w:strike w:val="0"/>
        </w:rPr>
      </w:pPr>
      <w:r>
        <w:rPr>
          <w:rFonts w:ascii="Arial" w:eastAsia="Times New Roman" w:hAnsi="Arial" w:cs="Arial"/>
          <w:b w:val="0"/>
          <w:i w:val="0"/>
          <w:strike w:val="0"/>
          <w:color w:val="1D1D1D"/>
        </w:rPr>
        <w:t>In Hachette v. Internet Archive (2024), 2nd Circuit held relevant market was "market for books in general, regardless of format" and found library ebook licensing market was both "reasonable and developed" supporting market harm finding in educational context.</w:t>
      </w:r>
    </w:p>
    <w:p>
      <w:pPr>
        <w:numPr>
          <w:ilvl w:val="0"/>
          <w:numId w:val="34"/>
        </w:numPr>
        <w:rPr>
          <w:b w:val="0"/>
          <w:i w:val="0"/>
          <w:strike w:val="0"/>
        </w:rPr>
      </w:pPr>
      <w:r>
        <w:rPr>
          <w:rFonts w:ascii="Arial" w:eastAsia="Times New Roman" w:hAnsi="Arial" w:cs="Arial"/>
          <w:b w:val="0"/>
          <w:i w:val="0"/>
          <w:strike w:val="0"/>
          <w:color w:val="1D1D1D"/>
        </w:rPr>
        <w:t>Analyzing Second Circuit decisions addressing the distinction between harm to a plaintiff's existing licensing market versus harm to broader market segments or potential future markets under Factor 4.</w:t>
      </w:r>
    </w:p>
    <w:p>
      <w:pPr>
        <w:numPr>
          <w:ilvl w:val="1"/>
          <w:numId w:val="34"/>
        </w:numPr>
        <w:rPr>
          <w:b w:val="0"/>
          <w:i w:val="0"/>
          <w:strike w:val="0"/>
        </w:rPr>
      </w:pPr>
      <w:r>
        <w:rPr>
          <w:rFonts w:ascii="Arial" w:eastAsia="Times New Roman" w:hAnsi="Arial" w:cs="Arial"/>
          <w:b w:val="0"/>
          <w:i w:val="0"/>
          <w:strike w:val="0"/>
          <w:color w:val="1D1D1D"/>
        </w:rPr>
        <w:t>2nd Circuit distinguishes between market substitution vs. market destruction. Castle Rock: "concern is not whether the secondary use suppresses or even destroys the market for the original work or its potential derivatives, but whether the secondary use usurps or substitutes for the market." Transformative uses may harm markets but harm from criticism/parody is not cognizable under Copyright Act.</w:t>
      </w:r>
    </w:p>
    <w:p>
      <w:pPr>
        <w:numPr>
          <w:ilvl w:val="0"/>
          <w:numId w:val="34"/>
        </w:numPr>
        <w:rPr>
          <w:b w:val="0"/>
          <w:i w:val="0"/>
          <w:strike w:val="0"/>
        </w:rPr>
      </w:pPr>
      <w:r>
        <w:rPr>
          <w:rFonts w:ascii="Arial" w:eastAsia="Times New Roman" w:hAnsi="Arial" w:cs="Arial"/>
          <w:b w:val="0"/>
          <w:i w:val="0"/>
          <w:strike w:val="0"/>
          <w:color w:val="1D1D1D"/>
        </w:rPr>
        <w:t>Researching Second Circuit guidance on whether market harm analysis should consider hypothetical licensing markets that the plaintiff has not yet entered or developed.</w:t>
      </w:r>
    </w:p>
    <w:p>
      <w:pPr>
        <w:numPr>
          <w:ilvl w:val="1"/>
          <w:numId w:val="34"/>
        </w:numPr>
        <w:rPr>
          <w:b w:val="0"/>
          <w:i w:val="0"/>
          <w:strike w:val="0"/>
        </w:rPr>
      </w:pPr>
      <w:r>
        <w:rPr>
          <w:rFonts w:ascii="Arial" w:eastAsia="Times New Roman" w:hAnsi="Arial" w:cs="Arial"/>
          <w:b w:val="0"/>
          <w:i w:val="0"/>
          <w:strike w:val="0"/>
          <w:color w:val="1D1D1D"/>
        </w:rPr>
        <w:t>2nd Circuit allows consideration of licensing markets not yet developed by plaintiff if they are "traditional, reasonable, or likely to be developed markets" (American Geophysical Union). However, copyright owners "may not preempt exploitation of transformative markets" by developing licensing for "parody, news reporting, educational or other transformative uses" (Castle Rock).</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51"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type of educational use is involved in your case (classroom instruction, research, online course materials, library reserves, etc.)?</w:t>
      </w:r>
    </w:p>
    <w:p>
      <w:pPr>
        <w:numPr>
          <w:ilvl w:val="0"/>
          <w:numId w:val="33"/>
        </w:numPr>
        <w:rPr>
          <w:b w:val="0"/>
          <w:i w:val="0"/>
          <w:strike w:val="0"/>
        </w:rPr>
      </w:pPr>
      <w:r>
        <w:rPr>
          <w:rFonts w:ascii="Arial" w:hAnsi="Arial" w:cs="Arial"/>
          <w:b/>
          <w:i w:val="0"/>
          <w:strike w:val="0"/>
          <w:color w:val="1D1D1D"/>
        </w:rPr>
        <w:t>When you refer to "educational materials market," are you asking about K-12 textbooks, higher education materials, professional training resources, or some other specific category?</w:t>
      </w:r>
    </w:p>
    <w:p>
      <w:pPr>
        <w:numPr>
          <w:ilvl w:val="0"/>
          <w:numId w:val="33"/>
        </w:numPr>
        <w:rPr>
          <w:b w:val="0"/>
          <w:i w:val="0"/>
          <w:strike w:val="0"/>
        </w:rPr>
      </w:pPr>
      <w:r>
        <w:rPr>
          <w:rFonts w:ascii="Arial" w:hAnsi="Arial" w:cs="Arial"/>
          <w:b/>
          <w:i w:val="0"/>
          <w:strike w:val="0"/>
          <w:color w:val="1D1D1D"/>
        </w:rPr>
        <w:t>Has the copyright holder actually licensed their work to educational institutions or educational content providers in the past?</w:t>
      </w:r>
    </w:p>
    <w:p>
      <w:pPr>
        <w:numPr>
          <w:ilvl w:val="0"/>
          <w:numId w:val="33"/>
        </w:numPr>
        <w:rPr>
          <w:b w:val="0"/>
          <w:i w:val="0"/>
          <w:strike w:val="0"/>
        </w:rPr>
      </w:pPr>
      <w:r>
        <w:rPr>
          <w:rFonts w:ascii="Arial" w:hAnsi="Arial" w:cs="Arial"/>
          <w:b/>
          <w:i w:val="0"/>
          <w:strike w:val="0"/>
          <w:color w:val="1D1D1D"/>
        </w:rPr>
        <w:t>What is the specific nature of the allegedly infringing use (copying for classroom distribution, digital course packs, online streaming, excerpt compilation, etc.)?</w:t>
      </w:r>
    </w:p>
    <w:p>
      <w:pPr>
        <w:numPr>
          <w:ilvl w:val="0"/>
          <w:numId w:val="33"/>
        </w:numPr>
        <w:rPr>
          <w:b w:val="0"/>
          <w:i w:val="0"/>
          <w:strike w:val="0"/>
        </w:rPr>
      </w:pPr>
      <w:r>
        <w:rPr>
          <w:rFonts w:ascii="Arial" w:hAnsi="Arial" w:cs="Arial"/>
          <w:b/>
          <w:i w:val="0"/>
          <w:strike w:val="0"/>
          <w:color w:val="1D1D1D"/>
        </w:rPr>
        <w:t>Does the defendant claim their use is transformative in purpose or function compared to the original work's intended use?</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5"/>
      <w:footerReference w:type="even" r:id="rId26"/>
      <w:footerReference w:type="default" r:id="rId27"/>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11</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4, 2026</w:t>
    </w:r>
    <w:r w:rsidRPr="00CA3A86" w:rsidR="00266D65">
      <w:rPr>
        <w:rFonts w:ascii="Arial" w:hAnsi="Arial" w:cs="Arial"/>
        <w:sz w:val="18"/>
        <w:szCs w:val="18"/>
      </w:rPr>
      <w:t xml:space="preserve"> at </w:t>
    </w:r>
    <w:r>
      <w:rPr>
        <w:rFonts w:ascii="Arial" w:hAnsi="Arial" w:cs="Arial"/>
        <w:b w:val="0"/>
        <w:i w:val="0"/>
        <w:strike w:val="0"/>
        <w:sz w:val="18"/>
      </w:rPr>
      <w:t>12:42 a.m.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Link/RelatedInformation/Flag?docGuid=Ib818c772944b11d9bc61beebb95be672&amp;ppcid=i0a89cf5c0000019c262a0a4583480294&amp;transitionType=AIGuidedResearch&amp;contextData=%28sc.Default%29&amp;conversationId=e8741ffb-1af3-4394-a74b-223c21c42107" TargetMode="External" /><Relationship Id="rId11" Type="http://schemas.openxmlformats.org/officeDocument/2006/relationships/hyperlink" Target="https://1.next.westlaw.com/Document/Ib818c772944b11d9bc61beebb95be672/View/FullText.html?transitionType=AIGuidedResearch&amp;contextData=%28sc.Default%29&amp;list=All&amp;listSource=WebsiteInternal&amp;conversationId=e8741ffb-1af3-4394-a74b-223c21c42107" TargetMode="External" /><Relationship Id="rId12" Type="http://schemas.openxmlformats.org/officeDocument/2006/relationships/hyperlink" Target="https://1.next.westlaw.com/Link/RelatedInformation/Flag?docGuid=I5f460680901011e69981dc2250b07c82&amp;ppcid=i0a89cf5c0000019c262a0a4583480294&amp;transitionType=AIGuidedResearch&amp;contextData=%28sc.Default%29&amp;conversationId=e8741ffb-1af3-4394-a74b-223c21c42107" TargetMode="External" /><Relationship Id="rId13" Type="http://schemas.openxmlformats.org/officeDocument/2006/relationships/hyperlink" Target="https://1.next.westlaw.com/Document/I5f460680901011e69981dc2250b07c82/View/FullText.html?transitionType=AIGuidedResearch&amp;contextData=%28sc.Default%29&amp;list=All&amp;listSource=WebsiteInternal&amp;conversationId=e8741ffb-1af3-4394-a74b-223c21c42107" TargetMode="External" /><Relationship Id="rId14" Type="http://schemas.openxmlformats.org/officeDocument/2006/relationships/hyperlink" Target="https://1.next.westlaw.com/Document/I009e24f0ca9711ed8833ddef8168f00b/View/FullText.html?transitionType=AIGuidedResearch&amp;contextData=%28sc.Default%29&amp;list=All&amp;listSource=WebsiteInternal&amp;conversationId=e8741ffb-1af3-4394-a74b-223c21c42107" TargetMode="External" /><Relationship Id="rId15" Type="http://schemas.openxmlformats.org/officeDocument/2006/relationships/hyperlink" Target="https://1.next.westlaw.com/Link/RelatedInformation/Flag?docGuid=I8eb0976fc3f211d9bdd1cfdd544ca3a4&amp;ppcid=i0a89cf5c0000019c262a0a4583480294&amp;transitionType=AIGuidedResearch&amp;contextData=%28sc.Default%29&amp;conversationId=e8741ffb-1af3-4394-a74b-223c21c42107" TargetMode="External" /><Relationship Id="rId16" Type="http://schemas.openxmlformats.org/officeDocument/2006/relationships/hyperlink" Target="https://1.next.westlaw.com/Document/I8eb0976fc3f211d9bdd1cfdd544ca3a4/View/FullText.html?transitionType=AIGuidedResearch&amp;contextData=%28sc.Default%29&amp;list=All&amp;listSource=WebsiteInternal&amp;conversationId=e8741ffb-1af3-4394-a74b-223c21c42107" TargetMode="External" /><Relationship Id="rId17" Type="http://schemas.openxmlformats.org/officeDocument/2006/relationships/hyperlink" Target="https://1.next.westlaw.com/Link/RelatedInformation/Flag?docGuid=I918674d4743311e5a807ad48145ed9f1&amp;ppcid=i0a89cf5c0000019c262a0a4583480294&amp;transitionType=AIGuidedResearch&amp;contextData=%28sc.Default%29&amp;conversationId=e8741ffb-1af3-4394-a74b-223c21c42107" TargetMode="External" /><Relationship Id="rId18" Type="http://schemas.openxmlformats.org/officeDocument/2006/relationships/hyperlink" Target="https://1.next.westlaw.com/Document/I918674d4743311e5a807ad48145ed9f1/View/FullText.html?transitionType=AIGuidedResearch&amp;contextData=%28sc.Default%29&amp;list=All&amp;listSource=WebsiteInternal&amp;conversationId=e8741ffb-1af3-4394-a74b-223c21c42107" TargetMode="External" /><Relationship Id="rId19" Type="http://schemas.openxmlformats.org/officeDocument/2006/relationships/hyperlink" Target="https://1.next.westlaw.com/Document/I2b3a08129f1311db9d6ac2f94b704450/View/FullText.html?transitionType=AIGuidedResearch&amp;contextData=%28sc.Default%29&amp;list=All&amp;listSource=WebsiteInternal&amp;conversationId=e8741ffb-1af3-4394-a74b-223c21c42107" TargetMode="External" /><Relationship Id="rId2" Type="http://schemas.openxmlformats.org/officeDocument/2006/relationships/webSettings" Target="webSettings.xml" /><Relationship Id="rId20" Type="http://schemas.openxmlformats.org/officeDocument/2006/relationships/hyperlink" Target="https://1.next.westlaw.com/Document/I710a1d28b02f11d997b78566ed1d337f/View/FullText.html?transitionType=AIGuidedResearch&amp;contextData=%28sc.Default%29&amp;list=All&amp;listSource=WebsiteInternal&amp;conversationId=e8741ffb-1af3-4394-a74b-223c21c42107" TargetMode="External" /><Relationship Id="rId21" Type="http://schemas.openxmlformats.org/officeDocument/2006/relationships/hyperlink" Target="https://1.next.westlaw.com/Document/Ic62c300498b611e19667d82f81354b28/View/FullText.html?transitionType=AIGuidedResearch&amp;contextData=%28sc.Default%29&amp;list=All&amp;listSource=WebsiteInternal&amp;conversationId=e8741ffb-1af3-4394-a74b-223c21c42107" TargetMode="External" /><Relationship Id="rId22" Type="http://schemas.openxmlformats.org/officeDocument/2006/relationships/hyperlink" Target="https://1.next.westlaw.com/Document/Ibb0a1264ef0511e28578f7ccc38dcbee/View/FullText.html?transitionType=AIGuidedResearch&amp;contextData=%28sc.Default%29&amp;list=All&amp;listSource=WebsiteInternal&amp;conversationId=e8741ffb-1af3-4394-a74b-223c21c42107" TargetMode="External" /><Relationship Id="rId23" Type="http://schemas.openxmlformats.org/officeDocument/2006/relationships/hyperlink" Target="https://1.next.westlaw.com/Document/I6c348bdbd6d911e8a5b3e3d9e23d7429/View/FullText.html?transitionType=AIGuidedResearch&amp;contextData=%28sc.Default%29&amp;list=All&amp;listSource=WebsiteInternal&amp;conversationId=e8741ffb-1af3-4394-a74b-223c21c42107" TargetMode="External" /><Relationship Id="rId24" Type="http://schemas.openxmlformats.org/officeDocument/2006/relationships/hyperlink" Target="https://1.next.westlaw.com/Document/I51f553d6c83311eabea4f0dc9fb69570/View/FullText.html?transitionType=AIGuidedResearch&amp;contextData=%28sc.Default%29&amp;list=All&amp;listSource=WebsiteInternal&amp;conversationId=e8741ffb-1af3-4394-a74b-223c21c42107" TargetMode="External" /><Relationship Id="rId25" Type="http://schemas.openxmlformats.org/officeDocument/2006/relationships/header" Target="header1.xml" /><Relationship Id="rId26" Type="http://schemas.openxmlformats.org/officeDocument/2006/relationships/footer" Target="footer1.xml" /><Relationship Id="rId27" Type="http://schemas.openxmlformats.org/officeDocument/2006/relationships/footer" Target="footer2.xml" /><Relationship Id="rId28" Type="http://schemas.openxmlformats.org/officeDocument/2006/relationships/theme" Target="theme/theme1.xml" /><Relationship Id="rId29" Type="http://schemas.openxmlformats.org/officeDocument/2006/relationships/numbering" Target="numbering.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yperlink" Target="https://1.next.westlaw.com/Link/RelatedInformation/Flag?docGuid=I1a0f72148b9811d99a6fdc806bf1638e&amp;ppcid=i0a89cf5c0000019c262a0a4583480294&amp;transitionType=AIGuidedResearch&amp;contextData=%28sc.Default%29&amp;conversationId=e8741ffb-1af3-4394-a74b-223c21c42107"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I1a0f72148b9811d99a6fdc806bf1638e/View/FullText.html?transitionType=AIGuidedResearch&amp;contextData=%28sc.Default%29&amp;list=All&amp;listSource=WebsiteInternal&amp;conversationId=e8741ffb-1af3-4394-a74b-223c21c42107" TargetMode="External" /><Relationship Id="rId7" Type="http://schemas.openxmlformats.org/officeDocument/2006/relationships/hyperlink" Target="https://1.next.westlaw.com/Link/RelatedInformation/Flag?docGuid=Ic33554606ae211ef806a83ea3275ddd8&amp;ppcid=i0a89cf5c0000019c262a0a4583480294&amp;transitionType=AIGuidedResearch&amp;contextData=%28sc.Default%29&amp;conversationId=e8741ffb-1af3-4394-a74b-223c21c42107" TargetMode="External" /><Relationship Id="rId8" Type="http://schemas.openxmlformats.org/officeDocument/2006/relationships/hyperlink" Target="https://1.next.westlaw.com/Document/Ic33554606ae211ef806a83ea3275ddd8/View/FullText.html?transitionType=AIGuidedResearch&amp;contextData=%28sc.Default%29&amp;list=All&amp;listSource=WebsiteInternal&amp;conversationId=e8741ffb-1af3-4394-a74b-223c21c42107" TargetMode="External" /><Relationship Id="rId9" Type="http://schemas.openxmlformats.org/officeDocument/2006/relationships/hyperlink" Target="https://1.next.westlaw.com/Document/N646536A0A06711D8B8FABFF7D35FC9C0/View/FullText.html?transitionType=AIGuidedResearch&amp;contextData=%28sc.Default%29&amp;list=All&amp;listSource=WebsiteInternal&amp;conversationId=e8741ffb-1af3-4394-a74b-223c21c421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11</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