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val="0"/>
          <w:i w:val="0"/>
          <w:strike w:val="0"/>
        </w:rPr>
        <w:t>What constitutes a "potential market" for Factor 4 purposes—do preliminary negotiations without signed contracts, agreed prices, or finalized budgets suffice? (in context of copyright)</w:t>
        <w:br/>
        <w:br/>
      </w:r>
      <w:r>
        <w:rPr>
          <w:b/>
          <w:i w:val="0"/>
          <w:strike w:val="0"/>
        </w:rPr>
        <w:t>Sub-questions:</w:t>
      </w:r>
      <w:r>
        <w:rPr>
          <w:b w:val="0"/>
          <w:i w:val="0"/>
          <w:strike w:val="0"/>
        </w:rPr>
        <w:br/>
        <w:br/>
        <w:t>- How concrete must future opportunities be to constitute "potential market"?</w:t>
        <w:br/>
        <w:t>- What evidence distinguishes "speculative" from "potential" markets?</w:t>
        <w:br/>
        <w:t>- Does loss of single preliminary negotiation establish market harm?</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2nd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Under Factor 4 of the fair use analysis in the Second Circuit, preliminary negotiations without signed contracts, agreed prices, or finalized budgets do </w:t>
      </w:r>
      <w:r>
        <w:rPr>
          <w:rFonts w:ascii="Arial" w:eastAsia="Times New Roman" w:hAnsi="Arial" w:cs="Arial"/>
          <w:b/>
          <w:i w:val="0"/>
          <w:strike w:val="0"/>
          <w:color w:val="1D1D1D"/>
          <w:u w:val="none"/>
        </w:rPr>
        <w:t>not</w:t>
      </w:r>
      <w:r>
        <w:rPr>
          <w:rFonts w:ascii="Arial" w:eastAsia="Times New Roman" w:hAnsi="Arial" w:cs="Arial"/>
          <w:b w:val="0"/>
          <w:i w:val="0"/>
          <w:strike w:val="0"/>
          <w:color w:val="1D1D1D"/>
          <w:u w:val="none"/>
        </w:rPr>
        <w:t xml:space="preserve"> suffice to establish cognizable market harm. The Second Circuit requires evidence of "traditional, reasonable, or likely-to-be-developed markets" rather than speculative licensing opportunities </w:t>
      </w:r>
      <w:hyperlink r:id="rId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 xml:space="preserve"> </w:t>
      </w:r>
      <w:hyperlink r:id="rId7" w:history="1">
        <w:r>
          <w:pict>
            <v:shape id="_x0000_i102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TCA Television Corp. v. McCollum, 839 F.3d 168 (2016)</w:t>
        </w:r>
      </w:hyperlink>
      <w:r>
        <w:rPr>
          <w:rFonts w:ascii="Arial" w:eastAsia="Times New Roman" w:hAnsi="Arial" w:cs="Arial"/>
          <w:b w:val="0"/>
          <w:i w:val="0"/>
          <w:strike w:val="0"/>
          <w:color w:val="1D1D1D"/>
          <w:u w:val="none"/>
        </w:rPr>
        <w:t xml:space="preserve">. A single preliminary negotiation is insufficient; courts require evidence of established licensing patterns, such as "regular" requests that are "frequently" granted, to distinguish potential markets from speculation </w:t>
      </w:r>
      <w:hyperlink r:id="rId7" w:history="1">
        <w:r>
          <w:pict>
            <v:shape id="_x0000_i102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TCA Television Corp. v. McCollum, 839 F.3d 168 (2016)</w:t>
        </w:r>
      </w:hyperlink>
      <w:r>
        <w:rPr>
          <w:rFonts w:ascii="Arial" w:eastAsia="Times New Roman" w:hAnsi="Arial" w:cs="Arial"/>
          <w:b w:val="0"/>
          <w:i w:val="0"/>
          <w:strike w:val="0"/>
          <w:color w:val="1D1D1D"/>
          <w:u w:val="none"/>
        </w:rPr>
        <w:t xml:space="preserve">. Copyright holders need not show concrete development plans or executed contracts, but must demonstrate markets that copyright owners "would in general develop or license others to develop" based on industry standards </w:t>
      </w:r>
      <w:hyperlink r:id="rId4" w:history="1">
        <w:r>
          <w:pict>
            <v:shape id="_x0000_i102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w:t>
        <w:br/>
      </w:r>
    </w:p>
    <w:p>
      <w:pPr>
        <w:pStyle w:val="Heading3"/>
        <w:rPr>
          <w:b w:val="0"/>
          <w:i w:val="0"/>
          <w:strike w:val="0"/>
        </w:rPr>
      </w:pPr>
      <w:r>
        <w:rPr>
          <w:b/>
          <w:u w:val="none"/>
        </w:rPr>
        <w:t>Definition of "Potential Market" Under Factor 4</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has established that Factor 4 analysis focuses on "traditional, reasonable, or likely-to-be-developed markets" rather than speculative opportunities </w:t>
      </w:r>
      <w:hyperlink r:id="rId4" w:history="1">
        <w:r>
          <w:pict>
            <v:shape id="_x0000_i103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 xml:space="preserve"> </w:t>
      </w:r>
      <w:hyperlink r:id="rId7" w:history="1">
        <w:r>
          <w:pict>
            <v:shape id="_x0000_i103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TCA Television Corp. v. McCollum, 839 F.3d 168 (2016)</w:t>
        </w:r>
      </w:hyperlink>
      <w:r>
        <w:rPr>
          <w:rFonts w:ascii="Arial" w:eastAsia="Times New Roman" w:hAnsi="Arial" w:cs="Arial"/>
          <w:b w:val="0"/>
          <w:i w:val="0"/>
          <w:strike w:val="0"/>
          <w:color w:val="1D1D1D"/>
          <w:u w:val="none"/>
        </w:rPr>
        <w:t xml:space="preserve">. In </w:t>
      </w:r>
      <w:r>
        <w:rPr>
          <w:rFonts w:ascii="Arial" w:eastAsia="Times New Roman" w:hAnsi="Arial" w:cs="Arial"/>
          <w:b w:val="0"/>
          <w:i/>
          <w:strike w:val="0"/>
          <w:color w:val="1D1D1D"/>
          <w:u w:val="none"/>
        </w:rPr>
        <w:t>Castle Rock Entertainment v. Carol Publishing Group</w:t>
      </w:r>
      <w:r>
        <w:rPr>
          <w:rFonts w:ascii="Arial" w:eastAsia="Times New Roman" w:hAnsi="Arial" w:cs="Arial"/>
          <w:b w:val="0"/>
          <w:i w:val="0"/>
          <w:strike w:val="0"/>
          <w:color w:val="1D1D1D"/>
          <w:u w:val="none"/>
        </w:rPr>
        <w:t xml:space="preserve">, the court emphasized that the inquiry centers on whether "creators of original works would in general develop or license others to develop" particular markets, not whether the specific plaintiff has concrete plans for market exploitation </w:t>
      </w:r>
      <w:hyperlink r:id="rId4" w:history="1">
        <w:r>
          <w:pict>
            <v:shape id="_x0000_i103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 xml:space="preserve">. This standard protects copyright holders' "artistic decision not to saturate those markets with variations of their original" while preventing defendants from usurping natural derivative market opportunities </w:t>
      </w:r>
      <w:hyperlink r:id="rId4" w:history="1">
        <w:r>
          <w:pict>
            <v:shape id="_x0000_i1033"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court rejected arguments that copyright owners must demonstrate actual market development or specific commercial interest. As the </w:t>
      </w:r>
      <w:r>
        <w:rPr>
          <w:rFonts w:ascii="Arial" w:eastAsia="Times New Roman" w:hAnsi="Arial" w:cs="Arial"/>
          <w:b w:val="0"/>
          <w:i/>
          <w:strike w:val="0"/>
          <w:color w:val="1D1D1D"/>
          <w:u w:val="none"/>
        </w:rPr>
        <w:t>Castle Rock</w:t>
      </w:r>
      <w:r>
        <w:rPr>
          <w:rFonts w:ascii="Arial" w:eastAsia="Times New Roman" w:hAnsi="Arial" w:cs="Arial"/>
          <w:b w:val="0"/>
          <w:i w:val="0"/>
          <w:strike w:val="0"/>
          <w:color w:val="1D1D1D"/>
          <w:u w:val="none"/>
        </w:rPr>
        <w:t xml:space="preserve"> court explained, "It would not serve the ends of the Copyright Act—i.e., to advance the arts—if artists were denied their monopoly over derivative versions of their creative works merely because they made the artistic decision not to saturate those markets with variations of their original" </w:t>
      </w:r>
      <w:hyperlink r:id="rId4" w:history="1">
        <w:r>
          <w:pict>
            <v:shape id="_x0000_i1034"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w:t>
        <w:br/>
      </w:r>
    </w:p>
    <w:p>
      <w:pPr>
        <w:pStyle w:val="Heading3"/>
        <w:rPr>
          <w:b w:val="0"/>
          <w:i w:val="0"/>
          <w:strike w:val="0"/>
        </w:rPr>
      </w:pPr>
      <w:r>
        <w:rPr>
          <w:b/>
          <w:u w:val="none"/>
        </w:rPr>
        <w:t>Evidentiary Standards for Licensing Markets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has clarified that preliminary negotiations alone cannot establish market harm under Factor 4. In </w:t>
      </w:r>
      <w:r>
        <w:rPr>
          <w:rFonts w:ascii="Arial" w:eastAsia="Times New Roman" w:hAnsi="Arial" w:cs="Arial"/>
          <w:b w:val="0"/>
          <w:i/>
          <w:strike w:val="0"/>
          <w:color w:val="1D1D1D"/>
          <w:u w:val="none"/>
        </w:rPr>
        <w:t>TCA Television Corp. v. McCollum</w:t>
      </w:r>
      <w:r>
        <w:rPr>
          <w:rFonts w:ascii="Arial" w:eastAsia="Times New Roman" w:hAnsi="Arial" w:cs="Arial"/>
          <w:b w:val="0"/>
          <w:i w:val="0"/>
          <w:strike w:val="0"/>
          <w:color w:val="1D1D1D"/>
          <w:u w:val="none"/>
        </w:rPr>
        <w:t xml:space="preserve">, the court distinguished between cognizable licensing markets and speculation by requiring evidence of established patterns rather than isolated licensing discussions </w:t>
      </w:r>
      <w:hyperlink r:id="rId7" w:history="1">
        <w:r>
          <w:pict>
            <v:shape id="_x0000_i1035"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TCA Television Corp. v. McCollum, 839 F.3d 168 (2016)</w:t>
        </w:r>
      </w:hyperlink>
      <w:r>
        <w:rPr>
          <w:rFonts w:ascii="Arial" w:eastAsia="Times New Roman" w:hAnsi="Arial" w:cs="Arial"/>
          <w:b w:val="0"/>
          <w:i w:val="0"/>
          <w:strike w:val="0"/>
          <w:color w:val="1D1D1D"/>
          <w:u w:val="none"/>
        </w:rPr>
        <w:t xml:space="preserve">. The plaintiffs successfully demonstrated market harm by alleging they receive "regular" requests to license their copyrighted work, which they "frequently" grant, combined with allegations that defendants' unlicensed use "negatively affected the commercial market for future licensing" </w:t>
      </w:r>
      <w:hyperlink r:id="rId7" w:history="1">
        <w:r>
          <w:pict>
            <v:shape id="_x0000_i103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TCA Television Corp. v. McCollum, 839 F.3d 168 (2016)</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This standard prevents the automatic finding of market harm that would occur if courts focused solely on "possible lost licensing fees from defendants' challenged use" </w:t>
      </w:r>
      <w:hyperlink r:id="rId7" w:history="1">
        <w:r>
          <w:pict>
            <v:shape id="_x0000_i103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TCA Television Corp. v. McCollum, 839 F.3d 168 (2016)</w:t>
        </w:r>
      </w:hyperlink>
      <w:r>
        <w:rPr>
          <w:rFonts w:ascii="Arial" w:eastAsia="Times New Roman" w:hAnsi="Arial" w:cs="Arial"/>
          <w:b w:val="0"/>
          <w:i w:val="0"/>
          <w:strike w:val="0"/>
          <w:color w:val="1D1D1D"/>
          <w:u w:val="none"/>
        </w:rPr>
        <w:t xml:space="preserve">. The court noted that such an approach "would always favor copyright owner if courts focused on loss of potential licensing fees from alleged infringer" </w:t>
      </w:r>
      <w:hyperlink r:id="rId7" w:history="1">
        <w:r>
          <w:pict>
            <v:shape id="_x0000_i103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TCA Television Corp. v. McCollum, 839 F.3d 168 (2016)</w:t>
        </w:r>
      </w:hyperlink>
      <w:r>
        <w:rPr>
          <w:rFonts w:ascii="Arial" w:eastAsia="Times New Roman" w:hAnsi="Arial" w:cs="Arial"/>
          <w:b w:val="0"/>
          <w:i w:val="0"/>
          <w:strike w:val="0"/>
          <w:color w:val="1D1D1D"/>
          <w:u w:val="none"/>
        </w:rPr>
        <w:t xml:space="preserve">. Instead, courts must assess "impact on potential licensing revenues for traditional, reasonable, or likely to be developed markets" </w:t>
      </w:r>
      <w:hyperlink r:id="rId7" w:history="1">
        <w:r>
          <w:pict>
            <v:shape id="_x0000_i103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TCA Television Corp. v. McCollum, 839 F.3d 168 (2016)</w:t>
        </w:r>
      </w:hyperlink>
      <w:r>
        <w:rPr>
          <w:rFonts w:ascii="Arial" w:eastAsia="Times New Roman" w:hAnsi="Arial" w:cs="Arial"/>
          <w:b w:val="0"/>
          <w:i w:val="0"/>
          <w:strike w:val="0"/>
          <w:color w:val="1D1D1D"/>
          <w:u w:val="none"/>
        </w:rPr>
        <w:t>.</w:t>
        <w:br/>
      </w:r>
    </w:p>
    <w:p>
      <w:pPr>
        <w:pStyle w:val="Heading3"/>
        <w:rPr>
          <w:b w:val="0"/>
          <w:i w:val="0"/>
          <w:strike w:val="0"/>
        </w:rPr>
      </w:pPr>
      <w:r>
        <w:rPr>
          <w:b/>
          <w:u w:val="none"/>
        </w:rPr>
        <w:t>Distinguishing Speculation from Potential Markets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has established clear boundaries between legally cognizable potential markets and mere speculation. Courts do not require concrete evidence of agreed prices, finalized budgets, or executed contracts </w:t>
      </w:r>
      <w:hyperlink r:id="rId4" w:history="1">
        <w:r>
          <w:pict>
            <v:shape id="_x0000_i104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 xml:space="preserve">. However, they do require more than hypothetical licensing opportunities. The </w:t>
      </w:r>
      <w:r>
        <w:rPr>
          <w:rFonts w:ascii="Arial" w:eastAsia="Times New Roman" w:hAnsi="Arial" w:cs="Arial"/>
          <w:b w:val="0"/>
          <w:i/>
          <w:strike w:val="0"/>
          <w:color w:val="1D1D1D"/>
          <w:u w:val="none"/>
        </w:rPr>
        <w:t>American Geophysical Union v. Texaco</w:t>
      </w:r>
      <w:r>
        <w:rPr>
          <w:rFonts w:ascii="Arial" w:eastAsia="Times New Roman" w:hAnsi="Arial" w:cs="Arial"/>
          <w:b w:val="0"/>
          <w:i w:val="0"/>
          <w:strike w:val="0"/>
          <w:color w:val="1D1D1D"/>
          <w:u w:val="none"/>
        </w:rPr>
        <w:t xml:space="preserve"> decision, cited approvingly by subsequent Second Circuit cases, warned that "by definition every fair use involves some loss of royalty revenue because the secondary user has not paid royalties," making it crucial to avoid automatically favoring copyright holders based on unpaid licensing fees </w:t>
      </w:r>
      <w:hyperlink r:id="rId9" w:history="1">
        <w:r>
          <w:pict>
            <v:shape id="_x0000_i104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American Geophysical Union v. Texaco Inc., 60 F.3d 913 (1994)</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analysis must consider whether "unrestricted and widespread conduct of the sort engaged in by the defendant would result in a substantially adverse impact on the potential market for the original" </w:t>
      </w:r>
      <w:hyperlink r:id="rId4" w:history="1">
        <w:r>
          <w:pict>
            <v:shape id="_x0000_i104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 This forward-looking inquiry protects established markets while preventing copyright holders from claiming protection for purely speculative licensing opportunities.</w:t>
        <w:br/>
      </w:r>
    </w:p>
    <w:p>
      <w:pPr>
        <w:pStyle w:val="Heading3"/>
        <w:rPr>
          <w:b w:val="0"/>
          <w:i w:val="0"/>
          <w:strike w:val="0"/>
        </w:rPr>
      </w:pPr>
      <w:r>
        <w:rPr>
          <w:b/>
          <w:u w:val="none"/>
        </w:rPr>
        <w:t>Market Substitution Analysis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Circuit's approach emphasizes market substitution rather than market suppression. In </w:t>
      </w:r>
      <w:r>
        <w:rPr>
          <w:rFonts w:ascii="Arial" w:eastAsia="Times New Roman" w:hAnsi="Arial" w:cs="Arial"/>
          <w:b w:val="0"/>
          <w:i/>
          <w:strike w:val="0"/>
          <w:color w:val="1D1D1D"/>
          <w:u w:val="none"/>
        </w:rPr>
        <w:t>Castle Rock</w:t>
      </w:r>
      <w:r>
        <w:rPr>
          <w:rFonts w:ascii="Arial" w:eastAsia="Times New Roman" w:hAnsi="Arial" w:cs="Arial"/>
          <w:b w:val="0"/>
          <w:i w:val="0"/>
          <w:strike w:val="0"/>
          <w:color w:val="1D1D1D"/>
          <w:u w:val="none"/>
        </w:rPr>
        <w:t xml:space="preserve">, the court explained that "the concern is not whether the secondary use suppresses or even destroys the market for the original work or its potential derivatives, but whether the secondary use usurps or substitutes for the market of the original work" </w:t>
      </w:r>
      <w:hyperlink r:id="rId4" w:history="1">
        <w:r>
          <w:pict>
            <v:shape id="_x0000_i1043"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 xml:space="preserve">. This analysis particularly applies when the secondary work "pays homage to" rather than criticizes the original, as such works are more likely to substitute for natural licensing opportunities </w:t>
      </w:r>
      <w:hyperlink r:id="rId4" w:history="1">
        <w:r>
          <w:pict>
            <v:shape id="_x0000_i1044"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Castle Rock Entertainment, Inc. v. Carol Pub. Group, Inc., 150 F.3d 132 (1998)</w:t>
        </w:r>
      </w:hyperlink>
      <w:r>
        <w:rPr>
          <w:rFonts w:ascii="Arial" w:eastAsia="Times New Roman" w:hAnsi="Arial" w:cs="Arial"/>
          <w:b w:val="0"/>
          <w:i w:val="0"/>
          <w:strike w:val="0"/>
          <w:color w:val="1D1D1D"/>
          <w:u w:val="none"/>
        </w:rPr>
        <w:t>.</w:t>
      </w:r>
    </w:p>
    <w:p w:rsidR="000911FB" w:rsidRPr="00E5063B" w:rsidP="000911FB" w14:paraId="5F10F1E7" w14:textId="77777777">
      <w:pPr>
        <w:pStyle w:val="Report-Body"/>
      </w:pP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The fourth fair use factor under 17 U.S.C. § 107 concerns the effect of the use on the potential market for or value of the copyrighted work. Courts recognize only harm tied to “market substitution”—where the secondary use replaces demand for the original—as legally cognizable market harm. Speculative or purely theoretical licensing markets without evidence of plausible, traditional, or likely to be developed markets generally do not satisfy this burden. It is insufficient for a plaintiff merely to assert that it might license the use; instead, a plaintiff must show a genuine interest in exploiting the market or that it would license the use but refuses to do so to increase value. Courts distinguish “potential market” from “speculative market” by looking at actual negotiations, licensing history, or an intent to enter such markets, rather than unformed or hypothetical possibilities. Moreover, licensing attempts that fail to materialize do not automatically show harm, as failed negotiations alone do not grant the right to exclude and prove market displacement. Widespread or unrestricted conduct threatening a plausible market can weigh against fair use, while isolated preliminary negotiations without finalized agreements, prices, or budgets typically constitute insufficient evidence of a non-speculative potential market</w:t>
      </w:r>
      <w:hyperlink r:id="rId11" w:history="1">
        <w:r>
          <w:rPr>
            <w:rStyle w:val="Hyperlink"/>
            <w:rFonts w:ascii="Arial" w:eastAsia="Times New Roman" w:hAnsi="Arial" w:cs="Arial"/>
            <w:b w:val="0"/>
            <w:i w:val="0"/>
            <w:strike w:val="0"/>
            <w:color w:val="467886"/>
            <w:u w:val="none"/>
          </w:rPr>
          <w:t>PATRYFAIR § 6:9</w: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PATRYFAIR § 6:10</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A single preliminary negotiation, absent more concrete steps toward market exploitation, rarely establishes market harm. Courts in the Second Circuit emphasize that the fourth factor involves balancing the actual or likely adverse market consequences against the public benefit of the use, assessing harm both to existing and derivative markets. Successful licensing models evidencing tangible revenue streams support plausible potential markets, while mere plaintiff assertions without documentary or transactional evidence remain insufficient. Lost licensing revenues must relate to reasonable and traditional markets copyright owners exploit; otherwise, acknowledging every licensing opportunity would render fair use analyses circular and unworkable. Thus, “potential market” requires demonstrable economic significance, not mere theoretical or aspirational negotiations</w:t>
      </w:r>
      <w:hyperlink r:id="rId11" w:history="1">
        <w:r>
          <w:rPr>
            <w:rStyle w:val="Hyperlink"/>
            <w:rFonts w:ascii="Arial" w:eastAsia="Times New Roman" w:hAnsi="Arial" w:cs="Arial"/>
            <w:b w:val="0"/>
            <w:i w:val="0"/>
            <w:strike w:val="0"/>
            <w:color w:val="467886"/>
            <w:u w:val="none"/>
          </w:rPr>
          <w:t>PATRYFAIR § 6:9</w:t>
        </w:r>
      </w:hyperlink>
      <w:r>
        <w:rPr>
          <w:rFonts w:ascii="Arial" w:eastAsia="Times New Roman" w:hAnsi="Arial" w:cs="Arial"/>
          <w:b w:val="0"/>
          <w:i w:val="0"/>
          <w:strike w:val="0"/>
          <w:color w:val="1D1D1D"/>
          <w:u w:val="none"/>
        </w:rPr>
        <w:t xml:space="preserve">, </w:t>
      </w:r>
      <w:hyperlink r:id="rId13" w:history="1">
        <w:r>
          <w:rPr>
            <w:rStyle w:val="Hyperlink"/>
            <w:rFonts w:ascii="Arial" w:eastAsia="Times New Roman" w:hAnsi="Arial" w:cs="Arial"/>
            <w:b w:val="0"/>
            <w:i w:val="0"/>
            <w:strike w:val="0"/>
            <w:color w:val="467886"/>
            <w:u w:val="none"/>
          </w:rPr>
          <w:t>102 A.L.R. Fed. 3d Art. 6</w: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PATRYFAIR § 6:10</w:t>
        </w:r>
      </w:hyperlink>
      <w:r>
        <w:rPr>
          <w:rFonts w:ascii="Arial" w:eastAsia="Times New Roman" w:hAnsi="Arial" w:cs="Arial"/>
          <w:b w:val="0"/>
          <w:i w:val="0"/>
          <w:strike w:val="0"/>
          <w:color w:val="1D1D1D"/>
          <w:u w:val="none"/>
        </w:rPr>
        <w:t>.</w:t>
        <w:br/>
      </w:r>
    </w:p>
    <w:p w:rsidR="000911FB" w:rsidRPr="000F6139" w:rsidP="000911FB" w14:paraId="1C1F8CE1" w14:textId="40E81E35">
      <w:pPr>
        <w:pStyle w:val="Report-Body"/>
        <w:rPr>
          <w:i/>
          <w:iCs/>
          <w:color w:val="626262"/>
        </w:rPr>
      </w:pPr>
      <w:r>
        <w:rPr>
          <w:b w:val="0"/>
          <w:i/>
          <w:strike w:val="0"/>
          <w:color w:val="626262"/>
        </w:rPr>
        <w:t>Generated by AI. Not legal or tax advice. A qualified professional must verify accuracy and legal compliance.</w:t>
      </w: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5"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9</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hyperlink r:id="rId4" w:history="1">
        <w:r>
          <w:pict>
            <v:shape id="_x0000_i1046" type="#_x0000_t75" alt="KeyCite Yellow Flag" style="width:16pt;height:16pt">
              <v:imagedata r:id="rId5" o:title=""/>
            </v:shape>
          </w:pict>
        </w:r>
      </w:hyperlink>
      <w:r>
        <w:t xml:space="preserve"> </w:t>
      </w:r>
      <w:hyperlink r:id="rId6" w:history="1">
        <w:r>
          <w:rPr>
            <w:rStyle w:val="Hyperlink"/>
            <w:b/>
            <w:i w:val="0"/>
            <w:strike w:val="0"/>
            <w:color w:val="467886"/>
            <w:u w:val="single"/>
          </w:rPr>
          <w:t>Castle Rock Entertainment, Inc. v. Carol Pub. Group, Inc.</w:t>
        </w:r>
      </w:hyperlink>
    </w:p>
    <w:p w:rsidR="000911FB" w:rsidRPr="00C67A9D" w:rsidP="000911FB" w14:paraId="778AA143"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July 10, 1998</w:t>
      </w:r>
      <w:r w:rsidRPr="00C67A9D">
        <w:rPr>
          <w:b w:val="0"/>
          <w:bCs w:val="0"/>
        </w:rPr>
        <w:t xml:space="preserve">   •   </w:t>
      </w:r>
      <w:r>
        <w:rPr>
          <w:b/>
          <w:i w:val="0"/>
          <w:strike w:val="0"/>
        </w:rPr>
        <w:t>150 F.3d 132</w:t>
      </w:r>
      <w:r w:rsidRPr="00C67A9D">
        <w:rPr>
          <w:b w:val="0"/>
          <w:bCs w:val="0"/>
        </w:rPr>
        <w:t xml:space="preserve">   •   </w:t>
      </w:r>
      <w:r>
        <w:rPr>
          <w:b/>
          <w:i w:val="0"/>
          <w:strike w:val="0"/>
        </w:rPr>
        <w:t>1998 WL 385465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copyright owners need not show concrete development plans but must demonstrate markets that owners "would in general develop or license," rejecting requirements for executed contracts or specific commercial interest</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4</w:t>
            </w:r>
            <w:r>
              <w:rPr>
                <w:rFonts w:ascii="Arial" w:eastAsia="Times New Roman" w:hAnsi="Arial" w:cs="Arial"/>
                <w:b w:val="0"/>
                <w:i w:val="0"/>
                <w:strike w:val="0"/>
                <w:color w:val="1D1D1D"/>
              </w:rPr>
              <w:br/>
              <w:t>...D. Effect of Use Upon Potential Market for or Value of Copyrighted Work. Just as secondary users may not exploit markets that original copyright owners would "in general develop or license others to develop" even if those owners had not actually done so, copyright owners may not preempt exploitation of transformative markets, which they would not "in general develop or license others to develop," by actually developing or licensing others to develop those markets. Thus, by developing or licensing a market for parody, news reporting, educational</w:t>
              <w:br/>
              <w:br/>
            </w:r>
            <w:r>
              <w:rPr>
                <w:rFonts w:ascii="Arial" w:eastAsia="Times New Roman" w:hAnsi="Arial" w:cs="Arial"/>
                <w:b/>
                <w:i w:val="0"/>
                <w:strike w:val="0"/>
                <w:color w:val="1D1D1D"/>
              </w:rPr>
              <w:t>Supporting section 2 of 4</w:t>
            </w:r>
            <w:r>
              <w:rPr>
                <w:rFonts w:ascii="Arial" w:eastAsia="Times New Roman" w:hAnsi="Arial" w:cs="Arial"/>
                <w:b w:val="0"/>
                <w:i w:val="0"/>
                <w:strike w:val="0"/>
                <w:color w:val="1D1D1D"/>
              </w:rPr>
              <w:br/>
              <w:t>...“It would... not serve the ends of the Copyright Act—</w:t>
            </w:r>
            <w:r>
              <w:rPr>
                <w:rFonts w:ascii="Arial" w:eastAsia="Times New Roman" w:hAnsi="Arial" w:cs="Arial"/>
                <w:b w:val="0"/>
                <w:i/>
                <w:strike w:val="0"/>
                <w:color w:val="1D1D1D"/>
              </w:rPr>
              <w:t>i.e.,</w:t>
            </w:r>
            <w:r>
              <w:rPr>
                <w:rFonts w:ascii="Arial" w:eastAsia="Times New Roman" w:hAnsi="Arial" w:cs="Arial"/>
                <w:b w:val="0"/>
                <w:i w:val="0"/>
                <w:strike w:val="0"/>
                <w:color w:val="1D1D1D"/>
              </w:rPr>
              <w:t xml:space="preserve"> to advance the arts—if artists were denied their monopoly over derivative versions of their creative works merely because they made the artistic decision not to saturate those markets with variations of their original.” </w:t>
            </w:r>
            <w:r>
              <w:rPr>
                <w:rFonts w:ascii="Arial" w:eastAsia="Times New Roman" w:hAnsi="Arial" w:cs="Arial"/>
                <w:b w:val="0"/>
                <w:i/>
                <w:strike w:val="0"/>
                <w:color w:val="1D1D1D"/>
              </w:rPr>
              <w:t>Castle Rock,</w:t>
            </w:r>
            <w:r>
              <w:rPr>
                <w:rFonts w:ascii="Arial" w:eastAsia="Times New Roman" w:hAnsi="Arial" w:cs="Arial"/>
                <w:b w:val="0"/>
                <w:i w:val="0"/>
                <w:strike w:val="0"/>
                <w:color w:val="1D1D1D"/>
              </w:rPr>
              <w:t xml:space="preserve"> 955 F.Supp. at 272; </w:t>
            </w:r>
            <w:r>
              <w:rPr>
                <w:rFonts w:ascii="Arial" w:eastAsia="Times New Roman" w:hAnsi="Arial" w:cs="Arial"/>
                <w:b w:val="0"/>
                <w:i/>
                <w:strike w:val="0"/>
                <w:color w:val="1D1D1D"/>
              </w:rPr>
              <w:t>see</w:t>
            </w:r>
            <w:r>
              <w:rPr>
                <w:rFonts w:ascii="Arial" w:eastAsia="Times New Roman" w:hAnsi="Arial" w:cs="Arial"/>
                <w:b w:val="0"/>
                <w:i w:val="0"/>
                <w:strike w:val="0"/>
                <w:color w:val="1D1D1D"/>
              </w:rPr>
              <w:t xml:space="preserve"> </w:t>
            </w:r>
            <w:r>
              <w:rPr>
                <w:rFonts w:ascii="Arial" w:eastAsia="Times New Roman" w:hAnsi="Arial" w:cs="Arial"/>
                <w:b w:val="0"/>
                <w:i/>
                <w:strike w:val="0"/>
                <w:color w:val="1D1D1D"/>
              </w:rPr>
              <w:t>Salinger,</w:t>
            </w:r>
            <w:r>
              <w:rPr>
                <w:rFonts w:ascii="Arial" w:eastAsia="Times New Roman" w:hAnsi="Arial" w:cs="Arial"/>
                <w:b w:val="0"/>
                <w:i w:val="0"/>
                <w:strike w:val="0"/>
                <w:color w:val="1D1D1D"/>
              </w:rPr>
              <w:t xml:space="preserve"> 811 F.2d at 99 (“The need to assess the effect on the market for Salinger's letters is not lessened by the fact that their author has disavowed any intention to publish them during his lifetime.”). The fourth statutory</w:t>
              <w:br/>
              <w:br/>
            </w:r>
            <w:r>
              <w:rPr>
                <w:rFonts w:ascii="Arial" w:eastAsia="Times New Roman" w:hAnsi="Arial" w:cs="Arial"/>
                <w:b/>
                <w:i w:val="0"/>
                <w:strike w:val="0"/>
                <w:color w:val="1D1D1D"/>
              </w:rPr>
              <w:t>Supporting section 3 of 4</w:t>
            </w:r>
            <w:r>
              <w:rPr>
                <w:rFonts w:ascii="Arial" w:eastAsia="Times New Roman" w:hAnsi="Arial" w:cs="Arial"/>
                <w:b w:val="0"/>
                <w:i w:val="0"/>
                <w:strike w:val="0"/>
                <w:color w:val="1D1D1D"/>
              </w:rPr>
              <w:br/>
              <w:t xml:space="preserve">...Under this factor, we “consider not only the extent of market harm caused by the particular actions of the alleged infringer, but also whether unrestricted and widespread conduct of the sort engaged in by the defendant... would result in a substantially adverse impact on the potential market for the original.” </w:t>
            </w:r>
            <w:r>
              <w:rPr>
                <w:rFonts w:ascii="Arial" w:eastAsia="Times New Roman" w:hAnsi="Arial" w:cs="Arial"/>
                <w:b w:val="0"/>
                <w:i/>
                <w:strike w:val="0"/>
                <w:color w:val="1D1D1D"/>
              </w:rPr>
              <w:t>Campbell,</w:t>
            </w:r>
            <w:r>
              <w:rPr>
                <w:rFonts w:ascii="Arial" w:eastAsia="Times New Roman" w:hAnsi="Arial" w:cs="Arial"/>
                <w:b w:val="0"/>
                <w:i w:val="0"/>
                <w:strike w:val="0"/>
                <w:color w:val="1D1D1D"/>
              </w:rPr>
              <w:t xml:space="preserve"> 510 U.S. at 590, 114 S.Ct. 1164 (quotation marks and citation omitted)....</w:t>
              <w:br/>
              <w:br/>
            </w:r>
            <w:r>
              <w:rPr>
                <w:rFonts w:ascii="Arial" w:eastAsia="Times New Roman" w:hAnsi="Arial" w:cs="Arial"/>
                <w:b/>
                <w:i w:val="0"/>
                <w:strike w:val="0"/>
                <w:color w:val="1D1D1D"/>
              </w:rPr>
              <w:t>Supporting section 4 of 4</w:t>
            </w:r>
            <w:r>
              <w:rPr>
                <w:rFonts w:ascii="Arial" w:eastAsia="Times New Roman" w:hAnsi="Arial" w:cs="Arial"/>
                <w:b w:val="0"/>
                <w:i w:val="0"/>
                <w:strike w:val="0"/>
                <w:color w:val="1D1D1D"/>
              </w:rPr>
              <w:br/>
              <w:t>...In considering the fourth factor, our concern is not whether the secondary use suppresses or even destroys the market for the original work or its potential derivatives, but whether the secondary use usurps or substitutes for the market of the original work. [*Id....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7" w:history="1">
        <w:r>
          <w:pict>
            <v:shape id="_x0000_i1047" type="#_x0000_t75" alt="KeyCite Yellow Flag" style="width:16pt;height:16pt">
              <v:imagedata r:id="rId5" o:title=""/>
            </v:shape>
          </w:pict>
        </w:r>
      </w:hyperlink>
      <w:r>
        <w:t xml:space="preserve"> </w:t>
      </w:r>
      <w:hyperlink r:id="rId8" w:history="1">
        <w:r>
          <w:rPr>
            <w:rStyle w:val="Hyperlink"/>
            <w:b/>
            <w:i w:val="0"/>
            <w:strike w:val="0"/>
            <w:color w:val="467886"/>
            <w:u w:val="single"/>
          </w:rPr>
          <w:t>TCA Television Corp. v. McCollum</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11, 2016</w:t>
      </w:r>
      <w:r w:rsidRPr="00C67A9D">
        <w:rPr>
          <w:b w:val="0"/>
          <w:bCs w:val="0"/>
        </w:rPr>
        <w:t xml:space="preserve">   •   </w:t>
      </w:r>
      <w:r>
        <w:rPr>
          <w:b/>
          <w:i w:val="0"/>
          <w:strike w:val="0"/>
        </w:rPr>
        <w:t>839 F.3d 168</w:t>
      </w:r>
      <w:r w:rsidRPr="00C67A9D">
        <w:rPr>
          <w:b w:val="0"/>
          <w:bCs w:val="0"/>
        </w:rPr>
        <w:t xml:space="preserve">   •   </w:t>
      </w:r>
      <w:r>
        <w:rPr>
          <w:b/>
          <w:i w:val="0"/>
          <w:strike w:val="0"/>
        </w:rPr>
        <w:t>2016 WL 5899174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single preliminary negotiations insufficient for market harm; requiring evidence of "regular" licensing requests "frequently" granted to establish traditional licensing markets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...The district court weighed this factor in defendants’ favor, concluding that the Play's use of the Routine could not reasonably be expected to usurp the market for Abbott and Costello's original performance. See TCA Television Corp. v. McCollum, 151 F.Supp.3d at 434–35. In so doing, however, the district court disregarded the possibility of defendants’ use adversely affecting the licensing market for the Routine....</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...Plaintiffs here alleged the existence of a traditional—and active—derivative market for licensing the Routine. See Am. Compl. ¶¶ 40, 81–83 (alleging that plaintiffs receive “regular” requests to license Who's on First?, which they frequently grant). Further, they alleged market harm. See id. at ¶ 83 (alleging that defendants’ unlicensed use of Who's on First? negatively affected commercial market for future licensing). Accepting these allegations as true at this stage of the litigation, we conclude that this factor weighs in favor of plaintiffs.</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...To be clear, in assessing harm posed to a licensing market, a court's focus is not on possible lost licensing fees from defendants’ challenged use. See American Geophysical Union v. Texaco Inc., 60 F.3d at 929 n.17 (explaining that fourth factor would always favor copyright owner if courts focused on loss of potential licensing fees from alleged infringer); see also Leval, Toward a Fair Use Standard, 103 Harv. L. Rev. at 1124 (“By definition every fair use involves some loss of royalty revenue because the secondary user has not paid royalties.”).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hyperlink r:id="rId9" w:history="1">
        <w:r>
          <w:pict>
            <v:shape id="_x0000_i1048" type="#_x0000_t75" alt="KeyCite Yellow Flag" style="width:16pt;height:16pt">
              <v:imagedata r:id="rId5" o:title=""/>
            </v:shape>
          </w:pict>
        </w:r>
      </w:hyperlink>
      <w:r>
        <w:t xml:space="preserve"> </w:t>
      </w:r>
      <w:hyperlink r:id="rId10" w:history="1">
        <w:r>
          <w:rPr>
            <w:rStyle w:val="Hyperlink"/>
            <w:b/>
            <w:i w:val="0"/>
            <w:strike w:val="0"/>
            <w:color w:val="467886"/>
            <w:u w:val="single"/>
          </w:rPr>
          <w:t>American Geophysical Union v. Texaco Inc.</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28, 1994</w:t>
      </w:r>
      <w:r w:rsidRPr="00C67A9D">
        <w:rPr>
          <w:b w:val="0"/>
          <w:bCs w:val="0"/>
        </w:rPr>
        <w:t xml:space="preserve">   •   </w:t>
      </w:r>
      <w:r>
        <w:rPr>
          <w:b/>
          <w:i w:val="0"/>
          <w:strike w:val="0"/>
        </w:rPr>
        <w:t>60 F.3d 913</w:t>
      </w:r>
      <w:r w:rsidRPr="00C67A9D">
        <w:rPr>
          <w:b w:val="0"/>
          <w:bCs w:val="0"/>
        </w:rPr>
        <w:t xml:space="preserve">   •   </w:t>
      </w:r>
      <w:r>
        <w:rPr>
          <w:b/>
          <w:i w:val="0"/>
          <w:strike w:val="0"/>
        </w:rPr>
        <w:t>1994 WL 814622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standards for "traditional, reasonable, or likely-to-be-developed markets" while warning against automatic licensing fee harm findings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r>
        <w:t xml:space="preserve"> </w:t>
      </w:r>
      <w:hyperlink r:id="rId11" w:history="1">
        <w:r>
          <w:rPr>
            <w:rStyle w:val="Hyperlink"/>
            <w:b/>
            <w:i w:val="0"/>
            <w:strike w:val="0"/>
            <w:color w:val="467886"/>
            <w:u w:val="single"/>
          </w:rPr>
          <w:t>§ 6:9. Identifying the relevant potential market for the copyrighted work</w:t>
        </w:r>
      </w:hyperlink>
    </w:p>
    <w:p w:rsidR="000911FB" w:rsidRPr="00C67A9D" w:rsidP="000911FB" w14:textId="43CA2655">
      <w:pPr>
        <w:pStyle w:val="Report-Metadata"/>
        <w:rPr>
          <w:b w:val="0"/>
          <w:bCs w:val="0"/>
        </w:rPr>
      </w:pPr>
      <w:r>
        <w:rPr>
          <w:b/>
          <w:i w:val="0"/>
          <w:strike w:val="0"/>
        </w:rPr>
        <w:t>Patry on Fair Use</w:t>
      </w:r>
      <w:r w:rsidRPr="00C67A9D">
        <w:rPr>
          <w:b w:val="0"/>
          <w:bCs w:val="0"/>
        </w:rPr>
        <w:t xml:space="preserve">   •   </w:t>
      </w:r>
      <w:r>
        <w:rPr>
          <w:b/>
          <w:i w:val="0"/>
          <w:strike w:val="0"/>
        </w:rPr>
        <w:t>PATRYFAIR § 6:9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...The question remains how to circumscribe the scope of the relevant potential market so as to ensure that the fourth factor has meaning, while still protecting the core economic interests of the copyright owner. One possibility is to include only those uses that the copyright owner has actually licensed or is negotiating to license.[23] This approach has the advantage of ruling out speculative harm. Limiting the copyright owner to markets already in the process of exploitation at the time the infringement takes place, however, puts copyright</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...Too broad an interpretation of the potential market, however, presents its own considerable dangers.[17] If taken to a logical extreme, the fourth factor would always weigh against fair use since there is always a potential market that the copyright owner could in theory license.[18] For example, a copyright owner could theoretically license book reviews as well as serializations, but while a serialization may satisfy some readers' desire to purchase the book, few interested in reading a novel are likely to be satisfied by a review. Defining</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...In Fox News Network, LLC v. TVEyes, Inc.,[21] the Second Circuit returned to the issue of licensing:TVEyes argues that its service poses little risk of being a “competing substitute” for Fox's offerings. Google Books, 804 F.3 d at 223. Fox argues that TVEyes undercuts Fox's ability to profit from licensing searchable access to its copyrighted content to third parties. Fox has much the stronger point.The success of the TVEyes business model demonstrates that deep-pocketed consumers are willing to pay well for a service that allows them to search</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r>
        <w:t xml:space="preserve"> </w:t>
      </w:r>
      <w:hyperlink r:id="rId12" w:history="1">
        <w:r>
          <w:rPr>
            <w:rStyle w:val="Hyperlink"/>
            <w:b/>
            <w:i w:val="0"/>
            <w:strike w:val="0"/>
            <w:color w:val="467886"/>
            <w:u w:val="single"/>
          </w:rPr>
          <w:t>§ 6:10. Circularity argument against licensing as market harm</w:t>
        </w:r>
      </w:hyperlink>
    </w:p>
    <w:p w:rsidR="000911FB" w:rsidRPr="00C67A9D" w:rsidP="000911FB" w14:textId="43CA2655">
      <w:pPr>
        <w:pStyle w:val="Report-Metadata"/>
        <w:rPr>
          <w:b w:val="0"/>
          <w:bCs w:val="0"/>
        </w:rPr>
      </w:pPr>
      <w:r>
        <w:rPr>
          <w:b/>
          <w:i w:val="0"/>
          <w:strike w:val="0"/>
        </w:rPr>
        <w:t>Patry on Fair Use</w:t>
      </w:r>
      <w:r w:rsidRPr="00C67A9D">
        <w:rPr>
          <w:b w:val="0"/>
          <w:bCs w:val="0"/>
        </w:rPr>
        <w:t xml:space="preserve">   •   </w:t>
      </w:r>
      <w:r>
        <w:rPr>
          <w:b/>
          <w:i w:val="0"/>
          <w:strike w:val="0"/>
        </w:rPr>
        <w:t>PATRYFAIR § 6:10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...Judge Arnold adopted the same approach in the Eighth Circuit's January 14, 2025 opinion in Designworks, Homes, Inc. v. Columbia House of Brokers Realty, Inc.,[9] citing this treatise:[Defendant] concludes that the lost opportunity to license floorplans to the agents and others like them tends to negate the fairness of their use. The flaw in this reasoning is so common that it has a name in copyright law: circularity. The lost opportunity to license an allegedly infringing use of a work cannot tilt the fair use inquiry against the alleged infringer</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...In the end, Judge Newman offered this practical guide to resolving the circularity issue:Texaco is correct, at least as a general matter, when it contends that it is not always appropriate for a court to be swayed on the fourth factor by the effects on potential licensing revenues. Only an impact on potential licensing revenues for traditional, reasonable, or likely to be developed markets should be legally cognizable when evaluating a secondary use's “effect upon the potential market for or value of the copyrighted work.”[8]...</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r>
        <w:t xml:space="preserve"> </w:t>
      </w:r>
      <w:hyperlink r:id="rId13" w:history="1">
        <w:r>
          <w:rPr>
            <w:rStyle w:val="Hyperlink"/>
            <w:b/>
            <w:i w:val="0"/>
            <w:strike w:val="0"/>
            <w:color w:val="467886"/>
            <w:u w:val="single"/>
          </w:rPr>
          <w:t>Fair Use Doctrine Under 17 U.S.C.A. § 107—Biographical and Historical Works, Including Diaries and Letters</w:t>
        </w:r>
      </w:hyperlink>
    </w:p>
    <w:p w:rsidR="000911FB" w:rsidRPr="00C67A9D" w:rsidP="000911FB" w14:textId="43CA2655">
      <w:pPr>
        <w:pStyle w:val="Report-Metadata"/>
        <w:rPr>
          <w:b w:val="0"/>
          <w:bCs w:val="0"/>
        </w:rPr>
      </w:pPr>
      <w:r>
        <w:rPr>
          <w:b/>
          <w:i w:val="0"/>
          <w:strike w:val="0"/>
        </w:rPr>
        <w:t>American Law Reports ALR Federal 3d</w:t>
      </w:r>
      <w:r w:rsidRPr="00C67A9D">
        <w:rPr>
          <w:b w:val="0"/>
          <w:bCs w:val="0"/>
        </w:rPr>
        <w:t xml:space="preserve">   •   </w:t>
      </w:r>
      <w:r>
        <w:rPr>
          <w:b/>
          <w:i w:val="0"/>
          <w:strike w:val="0"/>
        </w:rPr>
        <w:t>102 A.L.R. Fed. 3d Art. 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...Harper &amp; Row Publishers, Inc. v. Nation Enterprises, 471 U.S. 539, 105 S. Ct. 2218, 85 L. Ed. 2 d 588, 11 Media L. Rep. (BNA) 1969, 225 U.S.P.Q. 1073 (1985) The Court stated that the effect of an allegedly infringing use of copyrighted material on the market for that material, the most important factor listed in 17 U.S.C.A. § 107 to be considered in a fair-use analysis, requires only that the copyright holder show that the use would adversely affect the potential market for the copyrighted work, including the market for any works derivative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7</w:t>
      </w:r>
      <w:r w:rsidRPr="00755B14">
        <w:rPr>
          <w:b/>
          <w:bCs/>
        </w:rPr>
        <w:t>.</w:t>
      </w:r>
      <w:r w:rsidRPr="00E5063B">
        <w:t xml:space="preserve"> </w:t>
      </w:r>
      <w:r>
        <w:t xml:space="preserve"> </w:t>
      </w:r>
      <w:hyperlink r:id="rId14" w:history="1">
        <w:r>
          <w:rPr>
            <w:rStyle w:val="Hyperlink"/>
            <w:b/>
            <w:i w:val="0"/>
            <w:strike w:val="0"/>
            <w:color w:val="467886"/>
            <w:u w:val="single"/>
          </w:rPr>
          <w:t>Potential Competition in Merger Analysis</w:t>
        </w:r>
      </w:hyperlink>
    </w:p>
    <w:p w:rsidR="000911FB" w:rsidRPr="00C67A9D" w:rsidP="000911FB" w14:paraId="7E18259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providing an overview of the potential competition doctrine, including the theories of perceived potential competition and actual potential competition. The Note reviews the 2023 Merger Guidelines and government enforcement actions based on the loss of potential or nascent competition, including in the technology, pharmaceutical, and life sciences industries.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8</w:t>
      </w:r>
      <w:r w:rsidRPr="00755B14">
        <w:rPr>
          <w:b/>
          <w:bCs/>
        </w:rPr>
        <w:t>.</w:t>
      </w:r>
      <w:r w:rsidRPr="00E5063B">
        <w:t xml:space="preserve"> </w:t>
      </w:r>
      <w:r>
        <w:t xml:space="preserve"> </w:t>
      </w:r>
      <w:hyperlink r:id="rId15" w:history="1">
        <w:r>
          <w:rPr>
            <w:rStyle w:val="Hyperlink"/>
            <w:b/>
            <w:i w:val="0"/>
            <w:strike w:val="0"/>
            <w:color w:val="467886"/>
            <w:u w:val="single"/>
          </w:rPr>
          <w:t>Preliminary Agreements in Commercial Transactions</w:t>
        </w:r>
      </w:hyperlink>
    </w:p>
    <w:p w:rsidR="000911FB" w:rsidRPr="00C67A9D" w:rsidP="000911F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explaining preliminary agreements such as letters of intent (LOIs), memoranda of understanding (MOUs), term sheets, and heads of agreement (also referred to as heads of terms) used to identify and frame a potential transaction by setting out certain terms agreed in principle by the parties. This Note provides an overview of preliminary agreements which are typically used in complex, long-term, or strategically important commercial transactions to facilitate due diligence and clarify key deal points. It discusses the benefits and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9</w:t>
      </w:r>
      <w:r w:rsidRPr="00755B14">
        <w:rPr>
          <w:b/>
          <w:bCs/>
        </w:rPr>
        <w:t>.</w:t>
      </w:r>
      <w:r w:rsidRPr="00E5063B">
        <w:t xml:space="preserve"> </w:t>
      </w:r>
      <w:r>
        <w:t xml:space="preserve"> </w:t>
      </w:r>
      <w:hyperlink r:id="rId16" w:history="1">
        <w:r>
          <w:rPr>
            <w:rStyle w:val="Hyperlink"/>
            <w:b/>
            <w:i w:val="0"/>
            <w:strike w:val="0"/>
            <w:color w:val="467886"/>
            <w:u w:val="single"/>
          </w:rPr>
          <w:t>Commercial Real Estate Joint Venture Agreement Checklist</w:t>
        </w:r>
      </w:hyperlink>
    </w:p>
    <w:p w:rsidR="000911FB" w:rsidRPr="00C67A9D" w:rsidP="000911F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of the main questions to answer and issues to consider before setting up a commercial real estate joint venture and drafting a commercial real estate joint venture agreement.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the definition and scope of "potential market" under Factor 4 of the fair use analysis in 2nd Circuit copyright law, focusing on foundational cases like Harper &amp; Row Publishers, Inc. v. Nation Enterprises and subsequent circuit precedent.</w:t>
      </w:r>
    </w:p>
    <w:p>
      <w:pPr>
        <w:numPr>
          <w:ilvl w:val="1"/>
          <w:numId w:val="34"/>
        </w:numPr>
        <w:rPr>
          <w:b w:val="0"/>
          <w:i w:val="0"/>
          <w:strike w:val="0"/>
        </w:rPr>
      </w:pPr>
      <w:r>
        <w:rPr>
          <w:rFonts w:ascii="Arial" w:eastAsia="Times New Roman" w:hAnsi="Arial" w:cs="Arial"/>
          <w:b w:val="0"/>
          <w:i w:val="0"/>
          <w:strike w:val="0"/>
          <w:color w:val="1D1D1D"/>
        </w:rPr>
        <w:t>Found 2nd Circuit defines "potential market" as "traditional, reasonable, or likely-to-be-developed markets" per Castle Rock and other cases. Key cases: Hachette Book Group, Castle Rock, American Geophysical Union establish framework.</w:t>
      </w:r>
    </w:p>
    <w:p>
      <w:pPr>
        <w:numPr>
          <w:ilvl w:val="0"/>
          <w:numId w:val="34"/>
        </w:numPr>
        <w:rPr>
          <w:b w:val="0"/>
          <w:i w:val="0"/>
          <w:strike w:val="0"/>
        </w:rPr>
      </w:pPr>
      <w:r>
        <w:rPr>
          <w:rFonts w:ascii="Arial" w:eastAsia="Times New Roman" w:hAnsi="Arial" w:cs="Arial"/>
          <w:b w:val="0"/>
          <w:i w:val="0"/>
          <w:strike w:val="0"/>
          <w:color w:val="1D1D1D"/>
        </w:rPr>
        <w:t>Analyzing 2nd Circuit case law addressing whether preliminary negotiations, expressions of interest, or early-stage licensing discussions without signed contracts constitute cognizable harm to potential markets under 17 U.S.C. § 107(4).</w:t>
      </w:r>
    </w:p>
    <w:p>
      <w:pPr>
        <w:numPr>
          <w:ilvl w:val="1"/>
          <w:numId w:val="34"/>
        </w:numPr>
        <w:rPr>
          <w:b w:val="0"/>
          <w:i w:val="0"/>
          <w:strike w:val="0"/>
        </w:rPr>
      </w:pPr>
      <w:r>
        <w:rPr>
          <w:rFonts w:ascii="Arial" w:eastAsia="Times New Roman" w:hAnsi="Arial" w:cs="Arial"/>
          <w:b w:val="0"/>
          <w:i w:val="0"/>
          <w:strike w:val="0"/>
          <w:color w:val="1D1D1D"/>
        </w:rPr>
        <w:t>TCA Television shows preliminary negotiations alone insufficient - requires "regular" licensing requests that are "frequently" granted to establish traditional market. Single licensing negotiation inadequate.</w:t>
      </w:r>
    </w:p>
    <w:p>
      <w:pPr>
        <w:numPr>
          <w:ilvl w:val="0"/>
          <w:numId w:val="34"/>
        </w:numPr>
        <w:rPr>
          <w:b w:val="0"/>
          <w:i w:val="0"/>
          <w:strike w:val="0"/>
        </w:rPr>
      </w:pPr>
      <w:r>
        <w:rPr>
          <w:rFonts w:ascii="Arial" w:eastAsia="Times New Roman" w:hAnsi="Arial" w:cs="Arial"/>
          <w:b w:val="0"/>
          <w:i w:val="0"/>
          <w:strike w:val="0"/>
          <w:color w:val="1D1D1D"/>
        </w:rPr>
        <w:t>Examining 2nd Circuit precedent on the evidentiary standards required to establish market harm in Factor 4 analysis, specifically whether concrete evidence of agreed prices, finalized budgets, or executed contracts is necessary versus speculative or potential licensing opportunities.</w:t>
      </w:r>
    </w:p>
    <w:p>
      <w:pPr>
        <w:numPr>
          <w:ilvl w:val="1"/>
          <w:numId w:val="34"/>
        </w:numPr>
        <w:rPr>
          <w:b w:val="0"/>
          <w:i w:val="0"/>
          <w:strike w:val="0"/>
        </w:rPr>
      </w:pPr>
      <w:r>
        <w:rPr>
          <w:rFonts w:ascii="Arial" w:eastAsia="Times New Roman" w:hAnsi="Arial" w:cs="Arial"/>
          <w:b w:val="0"/>
          <w:i w:val="0"/>
          <w:strike w:val="0"/>
          <w:color w:val="1D1D1D"/>
        </w:rPr>
        <w:t>Castle Rock establishes no concrete contracts/prices needed - uses "would in general develop or license" standard. American Geophysical Union warns against automatic licensing fee harm but allows "traditional, reasonable, or likely-to-be-developed markets."</w:t>
      </w:r>
    </w:p>
    <w:p>
      <w:pPr>
        <w:numPr>
          <w:ilvl w:val="0"/>
          <w:numId w:val="34"/>
        </w:numPr>
        <w:rPr>
          <w:b w:val="0"/>
          <w:i w:val="0"/>
          <w:strike w:val="0"/>
        </w:rPr>
      </w:pPr>
      <w:r>
        <w:rPr>
          <w:rFonts w:ascii="Arial" w:eastAsia="Times New Roman" w:hAnsi="Arial" w:cs="Arial"/>
          <w:b w:val="0"/>
          <w:i w:val="0"/>
          <w:strike w:val="0"/>
          <w:color w:val="1D1D1D"/>
        </w:rPr>
        <w:t>Reviewing 2nd Circuit decisions distinguishing between theoretical future markets and legally cognizable potential markets for Factor 4 purposes, including analysis of market speculation versus demonstrable licensing prospects.</w:t>
      </w:r>
    </w:p>
    <w:p>
      <w:pPr>
        <w:numPr>
          <w:ilvl w:val="1"/>
          <w:numId w:val="34"/>
        </w:numPr>
        <w:rPr>
          <w:b w:val="0"/>
          <w:i w:val="0"/>
          <w:strike w:val="0"/>
        </w:rPr>
      </w:pPr>
      <w:r>
        <w:rPr>
          <w:rFonts w:ascii="Arial" w:eastAsia="Times New Roman" w:hAnsi="Arial" w:cs="Arial"/>
          <w:b w:val="0"/>
          <w:i w:val="0"/>
          <w:strike w:val="0"/>
          <w:color w:val="1D1D1D"/>
        </w:rPr>
        <w:t>Based on Castle Rock and TCA Television analysis: 2nd Circuit distinguishes cognizable markets from speculation by requiring evidence of established licensing patterns ("regular" requests "frequently" granted) rather than single preliminary negotiations. Theoretical markets rejected unless they meet "traditional, reasonable, or likely-to-be-developed" standard.</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9"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specific type of copyrighted work is involved in your analysis (literary work, musical composition, visual art, etc.)?</w:t>
      </w:r>
    </w:p>
    <w:p>
      <w:pPr>
        <w:numPr>
          <w:ilvl w:val="0"/>
          <w:numId w:val="33"/>
        </w:numPr>
        <w:rPr>
          <w:b w:val="0"/>
          <w:i w:val="0"/>
          <w:strike w:val="0"/>
        </w:rPr>
      </w:pPr>
      <w:r>
        <w:rPr>
          <w:rFonts w:ascii="Arial" w:hAnsi="Arial" w:cs="Arial"/>
          <w:b/>
          <w:i w:val="0"/>
          <w:strike w:val="0"/>
          <w:color w:val="1D1D1D"/>
        </w:rPr>
        <w:t>When you refer to "preliminary negotiations," are you describing formal licensing discussions, informal expressions of interest, or actual contract negotiations that did not reach completion?</w:t>
      </w:r>
    </w:p>
    <w:p>
      <w:pPr>
        <w:numPr>
          <w:ilvl w:val="0"/>
          <w:numId w:val="33"/>
        </w:numPr>
        <w:rPr>
          <w:b w:val="0"/>
          <w:i w:val="0"/>
          <w:strike w:val="0"/>
        </w:rPr>
      </w:pPr>
      <w:r>
        <w:rPr>
          <w:rFonts w:ascii="Arial" w:hAnsi="Arial" w:cs="Arial"/>
          <w:b/>
          <w:i w:val="0"/>
          <w:strike w:val="0"/>
          <w:color w:val="1D1D1D"/>
        </w:rPr>
        <w:t>Has the copyright holder previously granted licenses for similar uses of this work or comparable works in their portfolio?</w:t>
      </w:r>
    </w:p>
    <w:p>
      <w:pPr>
        <w:numPr>
          <w:ilvl w:val="0"/>
          <w:numId w:val="33"/>
        </w:numPr>
        <w:rPr>
          <w:b w:val="0"/>
          <w:i w:val="0"/>
          <w:strike w:val="0"/>
        </w:rPr>
      </w:pPr>
      <w:r>
        <w:rPr>
          <w:rFonts w:ascii="Arial" w:hAnsi="Arial" w:cs="Arial"/>
          <w:b/>
          <w:i w:val="0"/>
          <w:strike w:val="0"/>
          <w:color w:val="1D1D1D"/>
        </w:rPr>
        <w:t>What specific evidence exists of the copyright holder's past licensing practices or stated intentions regarding licensing this particular work?</w:t>
      </w:r>
    </w:p>
    <w:p>
      <w:pPr>
        <w:numPr>
          <w:ilvl w:val="0"/>
          <w:numId w:val="33"/>
        </w:numPr>
        <w:rPr>
          <w:b w:val="0"/>
          <w:i w:val="0"/>
          <w:strike w:val="0"/>
        </w:rPr>
      </w:pPr>
      <w:r>
        <w:rPr>
          <w:rFonts w:ascii="Arial" w:hAnsi="Arial" w:cs="Arial"/>
          <w:b/>
          <w:i w:val="0"/>
          <w:strike w:val="0"/>
          <w:color w:val="1D1D1D"/>
        </w:rPr>
        <w:t>Are there any documented requests from third parties seeking to license this work or similar works from the same copyright holder?</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17"/>
      <w:footerReference w:type="even" r:id="rId18"/>
      <w:footerReference w:type="default" r:id="rId19"/>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11</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4, 2026</w:t>
    </w:r>
    <w:r w:rsidRPr="00CA3A86" w:rsidR="00266D65">
      <w:rPr>
        <w:rFonts w:ascii="Arial" w:hAnsi="Arial" w:cs="Arial"/>
        <w:sz w:val="18"/>
        <w:szCs w:val="18"/>
      </w:rPr>
      <w:t xml:space="preserve"> at </w:t>
    </w:r>
    <w:r>
      <w:rPr>
        <w:rFonts w:ascii="Arial" w:hAnsi="Arial" w:cs="Arial"/>
        <w:b w:val="0"/>
        <w:i w:val="0"/>
        <w:strike w:val="0"/>
        <w:sz w:val="18"/>
      </w:rPr>
      <w:t>12:37 a.m.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1EB0"/>
    <w:rsid w:val="00020FD1"/>
    <w:rsid w:val="0003200D"/>
    <w:rsid w:val="00032904"/>
    <w:rsid w:val="000513CE"/>
    <w:rsid w:val="00054AE9"/>
    <w:rsid w:val="00075FC5"/>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947AC"/>
    <w:rsid w:val="00194FAC"/>
    <w:rsid w:val="0019606A"/>
    <w:rsid w:val="001B47B6"/>
    <w:rsid w:val="001B4E7F"/>
    <w:rsid w:val="001B6E29"/>
    <w:rsid w:val="001C2E92"/>
    <w:rsid w:val="001C78E3"/>
    <w:rsid w:val="001D4275"/>
    <w:rsid w:val="001E1C60"/>
    <w:rsid w:val="001F75F3"/>
    <w:rsid w:val="00201287"/>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4F25"/>
    <w:rsid w:val="004C766E"/>
    <w:rsid w:val="004D7C28"/>
    <w:rsid w:val="004F1C3B"/>
    <w:rsid w:val="00505C4B"/>
    <w:rsid w:val="00510591"/>
    <w:rsid w:val="00516B3F"/>
    <w:rsid w:val="00520D11"/>
    <w:rsid w:val="00522045"/>
    <w:rsid w:val="00522D43"/>
    <w:rsid w:val="005305F0"/>
    <w:rsid w:val="0053299B"/>
    <w:rsid w:val="00550EC5"/>
    <w:rsid w:val="0056376F"/>
    <w:rsid w:val="00566A4A"/>
    <w:rsid w:val="00566AEF"/>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707F"/>
    <w:rsid w:val="008221C5"/>
    <w:rsid w:val="00833D34"/>
    <w:rsid w:val="00833D9C"/>
    <w:rsid w:val="00853C21"/>
    <w:rsid w:val="00873ADA"/>
    <w:rsid w:val="008775B8"/>
    <w:rsid w:val="00877D32"/>
    <w:rsid w:val="008809CB"/>
    <w:rsid w:val="00884130"/>
    <w:rsid w:val="00893714"/>
    <w:rsid w:val="00897859"/>
    <w:rsid w:val="008B293F"/>
    <w:rsid w:val="008C1635"/>
    <w:rsid w:val="008C3F22"/>
    <w:rsid w:val="008C41E4"/>
    <w:rsid w:val="008C6E74"/>
    <w:rsid w:val="008D3D75"/>
    <w:rsid w:val="008D748A"/>
    <w:rsid w:val="008E22EC"/>
    <w:rsid w:val="00904C94"/>
    <w:rsid w:val="0091518F"/>
    <w:rsid w:val="00917C10"/>
    <w:rsid w:val="00926860"/>
    <w:rsid w:val="009337AC"/>
    <w:rsid w:val="0093562A"/>
    <w:rsid w:val="0094051C"/>
    <w:rsid w:val="00945A08"/>
    <w:rsid w:val="00956E15"/>
    <w:rsid w:val="00957A33"/>
    <w:rsid w:val="00971AF2"/>
    <w:rsid w:val="00974121"/>
    <w:rsid w:val="009842AD"/>
    <w:rsid w:val="0098739B"/>
    <w:rsid w:val="0099335B"/>
    <w:rsid w:val="009972E9"/>
    <w:rsid w:val="009A128A"/>
    <w:rsid w:val="009A323E"/>
    <w:rsid w:val="009A6103"/>
    <w:rsid w:val="009B42E6"/>
    <w:rsid w:val="009B789C"/>
    <w:rsid w:val="009D7141"/>
    <w:rsid w:val="00A024E9"/>
    <w:rsid w:val="00A14DA2"/>
    <w:rsid w:val="00A20A87"/>
    <w:rsid w:val="00A25B5B"/>
    <w:rsid w:val="00A25E2F"/>
    <w:rsid w:val="00A31E55"/>
    <w:rsid w:val="00A3231B"/>
    <w:rsid w:val="00A33C94"/>
    <w:rsid w:val="00A37A26"/>
    <w:rsid w:val="00A46556"/>
    <w:rsid w:val="00A5211C"/>
    <w:rsid w:val="00A61076"/>
    <w:rsid w:val="00A610D3"/>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A2401"/>
    <w:rsid w:val="00CA2EC3"/>
    <w:rsid w:val="00CA3A86"/>
    <w:rsid w:val="00CA43C5"/>
    <w:rsid w:val="00CB4C02"/>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702"/>
    <w:rsid w:val="00EB28B9"/>
    <w:rsid w:val="00EC008D"/>
    <w:rsid w:val="00EC1049"/>
    <w:rsid w:val="00EC22E0"/>
    <w:rsid w:val="00EC3CEA"/>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Document/I1a0f72148b9811d99a6fdc806bf1638e/View/FullText.html?transitionType=AIGuidedResearch&amp;contextData=%28sc.Default%29&amp;list=All&amp;listSource=WebsiteInternal&amp;conversationId=0aa8f077-2144-4c3f-b2b7-46b2d0842c2a" TargetMode="External" /><Relationship Id="rId11" Type="http://schemas.openxmlformats.org/officeDocument/2006/relationships/hyperlink" Target="https://1.next.westlaw.com/Document/If62e583576c911de98e6b24a7ac3e71f/View/FullText.html?transitionType=AIGuidedResearch&amp;contextData=%28sc.Default%29&amp;list=All&amp;listSource=WebsiteInternal&amp;conversationId=0aa8f077-2144-4c3f-b2b7-46b2d0842c2a" TargetMode="External" /><Relationship Id="rId12" Type="http://schemas.openxmlformats.org/officeDocument/2006/relationships/hyperlink" Target="https://1.next.westlaw.com/Document/If62e583876c911de98e6b24a7ac3e71f/View/FullText.html?transitionType=AIGuidedResearch&amp;contextData=%28sc.Default%29&amp;list=All&amp;listSource=WebsiteInternal&amp;conversationId=0aa8f077-2144-4c3f-b2b7-46b2d0842c2a" TargetMode="External" /><Relationship Id="rId13" Type="http://schemas.openxmlformats.org/officeDocument/2006/relationships/hyperlink" Target="https://1.next.westlaw.com/Document/Ic1328bf26cae11f0b6b482f3cfc0356a/View/FullText.html?transitionType=AIGuidedResearch&amp;contextData=%28sc.Default%29&amp;list=All&amp;listSource=WebsiteInternal&amp;conversationId=0aa8f077-2144-4c3f-b2b7-46b2d0842c2a" TargetMode="External" /><Relationship Id="rId14" Type="http://schemas.openxmlformats.org/officeDocument/2006/relationships/hyperlink" Target="https://1.next.westlaw.com/Document/I45de49b40c4511e698dc8b09b4f043e0/View/FullText.html?transitionType=AIGuidedResearch&amp;contextData=%28sc.Default%29&amp;list=All&amp;listSource=WebsiteInternal&amp;conversationId=0aa8f077-2144-4c3f-b2b7-46b2d0842c2a" TargetMode="External" /><Relationship Id="rId15" Type="http://schemas.openxmlformats.org/officeDocument/2006/relationships/hyperlink" Target="https://1.next.westlaw.com/Document/I9a216280654f11e79bef99c0ee06c731/View/FullText.html?transitionType=AIGuidedResearch&amp;contextData=%28sc.Default%29&amp;list=All&amp;listSource=WebsiteInternal&amp;conversationId=0aa8f077-2144-4c3f-b2b7-46b2d0842c2a" TargetMode="External" /><Relationship Id="rId16" Type="http://schemas.openxmlformats.org/officeDocument/2006/relationships/hyperlink" Target="https://1.next.westlaw.com/Document/I5adeceb75e3f11e598dc8b09b4f043e0/View/FullText.html?transitionType=AIGuidedResearch&amp;contextData=%28sc.Default%29&amp;list=All&amp;listSource=WebsiteInternal&amp;conversationId=0aa8f077-2144-4c3f-b2b7-46b2d0842c2a" TargetMode="External" /><Relationship Id="rId17" Type="http://schemas.openxmlformats.org/officeDocument/2006/relationships/header" Target="header1.xml" /><Relationship Id="rId18" Type="http://schemas.openxmlformats.org/officeDocument/2006/relationships/footer" Target="footer1.xml" /><Relationship Id="rId19" Type="http://schemas.openxmlformats.org/officeDocument/2006/relationships/footer" Target="footer2.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https://1.next.westlaw.com/Link/RelatedInformation/Flag?docGuid=Ib818c772944b11d9bc61beebb95be672&amp;ppcid=i0a89d6950000019c261864d0e7ae627d&amp;transitionType=AIGuidedResearch&amp;contextData=%28sc.Default%29&amp;conversationId=0aa8f077-2144-4c3f-b2b7-46b2d0842c2a" TargetMode="External" /><Relationship Id="rId5" Type="http://schemas.openxmlformats.org/officeDocument/2006/relationships/image" Target="https://i1.next.westlaw.com/permalink/indigo/flag_yellow_small.png" TargetMode="External" /><Relationship Id="rId6" Type="http://schemas.openxmlformats.org/officeDocument/2006/relationships/hyperlink" Target="https://1.next.westlaw.com/Document/Ib818c772944b11d9bc61beebb95be672/View/FullText.html?transitionType=AIGuidedResearch&amp;contextData=%28sc.Default%29&amp;list=All&amp;listSource=WebsiteInternal&amp;conversationId=0aa8f077-2144-4c3f-b2b7-46b2d0842c2a" TargetMode="External" /><Relationship Id="rId7" Type="http://schemas.openxmlformats.org/officeDocument/2006/relationships/hyperlink" Target="https://1.next.westlaw.com/Link/RelatedInformation/Flag?docGuid=I5f460680901011e69981dc2250b07c82&amp;ppcid=i0a89d6950000019c261864d0e7ae627d&amp;transitionType=AIGuidedResearch&amp;contextData=%28sc.Default%29&amp;conversationId=0aa8f077-2144-4c3f-b2b7-46b2d0842c2a" TargetMode="External" /><Relationship Id="rId8" Type="http://schemas.openxmlformats.org/officeDocument/2006/relationships/hyperlink" Target="https://1.next.westlaw.com/Document/I5f460680901011e69981dc2250b07c82/View/FullText.html?transitionType=AIGuidedResearch&amp;contextData=%28sc.Default%29&amp;list=All&amp;listSource=WebsiteInternal&amp;conversationId=0aa8f077-2144-4c3f-b2b7-46b2d0842c2a" TargetMode="External" /><Relationship Id="rId9" Type="http://schemas.openxmlformats.org/officeDocument/2006/relationships/hyperlink" Target="https://1.next.westlaw.com/Link/RelatedInformation/Flag?docGuid=I1a0f72148b9811d99a6fdc806bf1638e&amp;ppcid=i0a89d6950000019c261864d0e7ae627d&amp;transitionType=AIGuidedResearch&amp;contextData=%28sc.Default%29&amp;conversationId=0aa8f077-2144-4c3f-b2b7-46b2d0842c2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11</Pages>
  <Words>36</Words>
  <Characters>742</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Westlaw AI Deep Research</cp:lastModifiedBy>
  <cp:revision>257</cp:revision>
  <dcterms:created xsi:type="dcterms:W3CDTF">2025-07-30T20:26:00Z</dcterms:created>
  <dcterms:modified xsi:type="dcterms:W3CDTF">2025-11-18T20:12:00Z</dcterms:modified>
</cp:coreProperties>
</file>