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val="0"/>
          <w:i w:val="0"/>
          <w:strike w:val="0"/>
        </w:rPr>
        <w:t>When a transformative work is chosen over the original because it is educationally superior (more accurate, more complete), does this constitute actionable market harm or legitimate competition?</w:t>
        <w:br/>
        <w:br/>
      </w:r>
      <w:r>
        <w:rPr>
          <w:b/>
          <w:i w:val="0"/>
          <w:strike w:val="0"/>
        </w:rPr>
        <w:t>Sub-questions:</w:t>
      </w:r>
      <w:r>
        <w:rPr>
          <w:b w:val="0"/>
          <w:i w:val="0"/>
          <w:strike w:val="0"/>
        </w:rPr>
        <w:br/>
        <w:br/>
        <w:t>- Does fair use permit transformative works to compete with originals in same market?</w:t>
        <w:br/>
        <w:t>- How do courts analyze causation—was market loss due to substitution or due to superiority?</w:t>
        <w:br/>
        <w:t>- What role does consumer choice (Toobin preferring accuracy) play in market analysis?</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2nd Circuit</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When a transformative work is chosen over the original because it is educationally superior, this may constitute legitimate competition rather than actionable market harm, but only if the work is genuinely transformative under the first fair use factor. The Second Circuit distinguishes between two types of market harm: (1) harm from transformative criticism that lowers public estimation of the original, which supports fair use; and (2) harm from market substitution where the secondary work serves as a replacement, which argues against fair use. Educational purpose alone does not confer fair use protection, and courts apply logical inference rather than requiring complex causation analysis to determine market harm.</w:t>
        <w:br/>
      </w:r>
    </w:p>
    <w:p>
      <w:pPr>
        <w:pStyle w:val="Heading3"/>
        <w:rPr>
          <w:b w:val="0"/>
          <w:i w:val="0"/>
          <w:strike w:val="0"/>
        </w:rPr>
      </w:pPr>
      <w:r>
        <w:rPr>
          <w:b/>
          <w:u w:val="none"/>
        </w:rPr>
        <w:t>Transformative Use Requirements for Educational Works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defines transformative use as work that "adds something new, with a further purpose or different character, altering the first with new expression, meaning, or message." </w:t>
      </w:r>
      <w:hyperlink r:id="rId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Authors Guild v. Google, Inc., 804 F.3d 202 (2015)</w:t>
        </w:r>
      </w:hyperlink>
      <w:r>
        <w:rPr>
          <w:rFonts w:ascii="Arial" w:eastAsia="Times New Roman" w:hAnsi="Arial" w:cs="Arial"/>
          <w:b w:val="0"/>
          <w:i w:val="0"/>
          <w:strike w:val="0"/>
          <w:color w:val="1D1D1D"/>
          <w:u w:val="none"/>
        </w:rPr>
        <w:t xml:space="preserve"> </w:t>
      </w:r>
      <w:hyperlink r:id="rId7" w:history="1">
        <w:r>
          <w:pict>
            <v:shape id="_x0000_i102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On Davis v. The Gap, Inc., 246 F.3d 152 (2001)</w:t>
        </w:r>
      </w:hyperlink>
      <w:r>
        <w:rPr>
          <w:rFonts w:ascii="Arial" w:eastAsia="Times New Roman" w:hAnsi="Arial" w:cs="Arial"/>
          <w:b w:val="0"/>
          <w:i w:val="0"/>
          <w:strike w:val="0"/>
          <w:color w:val="1D1D1D"/>
          <w:u w:val="none"/>
        </w:rPr>
        <w:t xml:space="preserve"> However, the court has explicitly rejected the notion that educational purpose automatically qualifies for fair use protection. In </w:t>
      </w:r>
      <w:r>
        <w:rPr>
          <w:rFonts w:ascii="Arial" w:eastAsia="Times New Roman" w:hAnsi="Arial" w:cs="Arial"/>
          <w:b w:val="0"/>
          <w:i/>
          <w:strike w:val="0"/>
          <w:color w:val="1D1D1D"/>
          <w:u w:val="none"/>
        </w:rPr>
        <w:t>Authors Guild v. Google</w:t>
      </w:r>
      <w:r>
        <w:rPr>
          <w:rFonts w:ascii="Arial" w:eastAsia="Times New Roman" w:hAnsi="Arial" w:cs="Arial"/>
          <w:b w:val="0"/>
          <w:i w:val="0"/>
          <w:strike w:val="0"/>
          <w:color w:val="1D1D1D"/>
          <w:u w:val="none"/>
        </w:rPr>
        <w:t xml:space="preserve">, the Second Circuit warned that "authors who write for educational purposes, and publishers who invest substantial funds to publish educational materials, would lose the ability to earn revenues if users were permitted to copy the materials freely merely because such copying was in the service of a nonprofit educational mission." </w:t>
      </w:r>
      <w:hyperlink r:id="rId4" w:history="1">
        <w:r>
          <w:pict>
            <v:shape id="_x0000_i102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Authors Guild v. Google, Inc., 804 F.3d 202 (2015)</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For a work claiming educational superiority to qualify as transformative, it must serve a fundamentally different purpose than the original rather than merely providing the same content in a superior format. The court emphasized in </w:t>
      </w:r>
      <w:r>
        <w:rPr>
          <w:rFonts w:ascii="Arial" w:eastAsia="Times New Roman" w:hAnsi="Arial" w:cs="Arial"/>
          <w:b w:val="0"/>
          <w:i/>
          <w:strike w:val="0"/>
          <w:color w:val="1D1D1D"/>
          <w:u w:val="none"/>
        </w:rPr>
        <w:t>Hachette Book Group v. Internet Archive</w:t>
      </w:r>
      <w:r>
        <w:rPr>
          <w:rFonts w:ascii="Arial" w:eastAsia="Times New Roman" w:hAnsi="Arial" w:cs="Arial"/>
          <w:b w:val="0"/>
          <w:i w:val="0"/>
          <w:strike w:val="0"/>
          <w:color w:val="1D1D1D"/>
          <w:u w:val="none"/>
        </w:rPr>
        <w:t xml:space="preserve"> that copying works "primarily to supplant the original Works without adding meaningfully new or different features" fails the transformative test, regardless of any claimed improvements. </w:t>
      </w:r>
      <w:hyperlink r:id="rId9" w:history="1">
        <w:r>
          <w:pict>
            <v:shape id="_x0000_i1029"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0"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br/>
      </w:r>
    </w:p>
    <w:p>
      <w:pPr>
        <w:pStyle w:val="Heading3"/>
        <w:rPr>
          <w:b w:val="0"/>
          <w:i w:val="0"/>
          <w:strike w:val="0"/>
        </w:rPr>
      </w:pPr>
      <w:r>
        <w:rPr>
          <w:b/>
          <w:u w:val="none"/>
        </w:rPr>
        <w:t>Market Harm Analysis: Source of Harm Determines Fair Use</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has established a critical framework for analyzing market harm that focuses on the source rather than the mere existence of economic injury. In </w:t>
      </w:r>
      <w:r>
        <w:rPr>
          <w:rFonts w:ascii="Arial" w:eastAsia="Times New Roman" w:hAnsi="Arial" w:cs="Arial"/>
          <w:b w:val="0"/>
          <w:i/>
          <w:strike w:val="0"/>
          <w:color w:val="1D1D1D"/>
          <w:u w:val="none"/>
        </w:rPr>
        <w:t>United States v. American Society of Composers</w:t>
      </w:r>
      <w:r>
        <w:rPr>
          <w:rFonts w:ascii="Arial" w:eastAsia="Times New Roman" w:hAnsi="Arial" w:cs="Arial"/>
          <w:b w:val="0"/>
          <w:i w:val="0"/>
          <w:strike w:val="0"/>
          <w:color w:val="1D1D1D"/>
          <w:u w:val="none"/>
        </w:rPr>
        <w:t xml:space="preserve">, the court explained that "when secondary uses harm the market for, or value of, the original, courts must examine the source of the harm." </w:t>
      </w:r>
      <w:hyperlink r:id="rId11" w:history="1">
        <w:r>
          <w:pict>
            <v:shape id="_x0000_i1030"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2" w:history="1">
        <w:r>
          <w:rPr>
            <w:rStyle w:val="Hyperlink"/>
            <w:rFonts w:ascii="Arial" w:eastAsia="Times New Roman" w:hAnsi="Arial" w:cs="Arial"/>
            <w:b w:val="0"/>
            <w:i w:val="0"/>
            <w:strike w:val="0"/>
            <w:color w:val="467886"/>
            <w:u w:val="none"/>
          </w:rPr>
          <w:t>U.S. v. American Soc. of Composers, Authors and Publishers, 599 F.Supp.2d 415 (2009)</w:t>
        </w:r>
      </w:hyperlink>
      <w:r>
        <w:rPr>
          <w:rFonts w:ascii="Arial" w:eastAsia="Times New Roman" w:hAnsi="Arial" w:cs="Arial"/>
          <w:b w:val="0"/>
          <w:i w:val="0"/>
          <w:strike w:val="0"/>
          <w:color w:val="1D1D1D"/>
          <w:u w:val="none"/>
        </w:rPr>
        <w:t xml:space="preserve"> The court distinguished two scenarios: harm resulting from transformative use that "lowered the public's estimation of the original (such as a devastating review of a book that quotes liberally from the original to show how silly and poorly written it is)" constitutes fair use, while harm where "the secondary use, by copying the first, offers itself as a market substitute" argues strongly against fair use. </w:t>
      </w:r>
      <w:hyperlink r:id="rId11" w:history="1">
        <w:r>
          <w:pict>
            <v:shape id="_x0000_i1031"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2" w:history="1">
        <w:r>
          <w:rPr>
            <w:rStyle w:val="Hyperlink"/>
            <w:rFonts w:ascii="Arial" w:eastAsia="Times New Roman" w:hAnsi="Arial" w:cs="Arial"/>
            <w:b w:val="0"/>
            <w:i w:val="0"/>
            <w:strike w:val="0"/>
            <w:color w:val="467886"/>
            <w:u w:val="none"/>
          </w:rPr>
          <w:t>U.S. v. American Soc. of Composers, Authors and Publishers, 599 F.Supp.2d 415 (2009)</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This framework suggests that when consumers choose a transformative educational work over the original because the transformative work exposes inaccuracies or demonstrates superior scholarship, such market harm may be permissible as legitimate criticism. However, if consumers choose the secondary work simply because it provides the same educational content without payment, this constitutes impermissible substitution.</w:t>
        <w:br/>
      </w:r>
    </w:p>
    <w:p>
      <w:pPr>
        <w:pStyle w:val="Heading3"/>
        <w:rPr>
          <w:b w:val="0"/>
          <w:i w:val="0"/>
          <w:strike w:val="0"/>
        </w:rPr>
      </w:pPr>
      <w:r>
        <w:rPr>
          <w:b/>
          <w:u w:val="none"/>
        </w:rPr>
        <w:t>Causation Analysis and Burden of Proof</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Courts do not require complex empirical causation analysis to establish market harm in fair use cases. In </w:t>
      </w:r>
      <w:r>
        <w:rPr>
          <w:rFonts w:ascii="Arial" w:eastAsia="Times New Roman" w:hAnsi="Arial" w:cs="Arial"/>
          <w:b w:val="0"/>
          <w:i/>
          <w:strike w:val="0"/>
          <w:color w:val="1D1D1D"/>
          <w:u w:val="none"/>
        </w:rPr>
        <w:t>Hachette</w:t>
      </w:r>
      <w:r>
        <w:rPr>
          <w:rFonts w:ascii="Arial" w:eastAsia="Times New Roman" w:hAnsi="Arial" w:cs="Arial"/>
          <w:b w:val="0"/>
          <w:i w:val="0"/>
          <w:strike w:val="0"/>
          <w:color w:val="1D1D1D"/>
          <w:u w:val="none"/>
        </w:rPr>
        <w:t xml:space="preserve">, the Second Circuit rejected the defendant's econometric expert analysis attempting to disprove causation, stating that "we routinely rely on such logical inferences where appropriate in assessing the fourth fair use factor." </w:t>
      </w:r>
      <w:hyperlink r:id="rId9" w:history="1">
        <w:r>
          <w:pict>
            <v:shape id="_x0000_i1032"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0"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 xml:space="preserve"> The court found it logical that free digital copies would serve as substitutes for paid originals, concluding there "would be little reason for consumers or libraries to pay Publishers for content they could access for free." </w:t>
      </w:r>
      <w:hyperlink r:id="rId9" w:history="1">
        <w:r>
          <w:pict>
            <v:shape id="_x0000_i1033"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0"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burden falls on the party claiming fair use to "prove that the secondary use does not compete in the relevant market." </w:t>
      </w:r>
      <w:hyperlink r:id="rId9" w:history="1">
        <w:r>
          <w:pict>
            <v:shape id="_x0000_i1034"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0"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 xml:space="preserve"> This burden cannot be met merely by showing the secondary work has superior educational value if it still functions as a market substitute for the original's primary purpose.</w:t>
        <w:br/>
      </w:r>
    </w:p>
    <w:p>
      <w:pPr>
        <w:pStyle w:val="Heading3"/>
        <w:rPr>
          <w:b w:val="0"/>
          <w:i w:val="0"/>
          <w:strike w:val="0"/>
        </w:rPr>
      </w:pPr>
      <w:r>
        <w:rPr>
          <w:b/>
          <w:u w:val="none"/>
        </w:rPr>
        <w:t>Consumer Choice and Legitimate Competition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Circuit's analysis in the ASCAP case provides guidance on when consumer preference for accuracy or completeness supports fair use. When a transformative work competes by offering genuine criticism, commentary, or scholarship that reveals flaws in the original, market losses from such competition constitute legitimate harm that does not defeat fair use. </w:t>
      </w:r>
      <w:hyperlink r:id="rId11" w:history="1">
        <w:r>
          <w:pict>
            <v:shape id="_x0000_i1035"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2" w:history="1">
        <w:r>
          <w:rPr>
            <w:rStyle w:val="Hyperlink"/>
            <w:rFonts w:ascii="Arial" w:eastAsia="Times New Roman" w:hAnsi="Arial" w:cs="Arial"/>
            <w:b w:val="0"/>
            <w:i w:val="0"/>
            <w:strike w:val="0"/>
            <w:color w:val="467886"/>
            <w:u w:val="none"/>
          </w:rPr>
          <w:t>U.S. v. American Soc. of Composers, Authors and Publishers, 599 F.Supp.2d 415 (2009)</w:t>
        </w:r>
      </w:hyperlink>
      <w:r>
        <w:rPr>
          <w:rFonts w:ascii="Arial" w:eastAsia="Times New Roman" w:hAnsi="Arial" w:cs="Arial"/>
          <w:b w:val="0"/>
          <w:i w:val="0"/>
          <w:strike w:val="0"/>
          <w:color w:val="1D1D1D"/>
          <w:u w:val="none"/>
        </w:rPr>
        <w:t xml:space="preserve"> However, the transformative purpose must be genuine and not merely a pretext for avoiding payment for essentially the same content.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The court's emphasis on examining the "source of harm" means that educational superiority alone cannot justify copying unless the secondary work truly transforms the original's purpose and character, moving beyond mere improvement to genuine scholarly transformation.</w:t>
      </w:r>
    </w:p>
    <w:p w:rsidR="000911FB" w:rsidRPr="00E5063B" w:rsidP="000911FB" w14:paraId="5F10F1E7" w14:textId="77777777">
      <w:pPr>
        <w:pStyle w:val="Report-Body"/>
      </w:pPr>
    </w:p>
    <w:p>
      <w:pPr>
        <w:pStyle w:val="Heading3"/>
        <w:rPr>
          <w:b w:val="0"/>
          <w:i w:val="0"/>
          <w:strike w:val="0"/>
        </w:rPr>
      </w:pPr>
      <w:r>
        <w:rPr>
          <w:b/>
          <w:u w:val="none"/>
        </w:rPr>
        <w:t>Commentary on This Question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Fair use under 17 U.S.C.A. § 107 balances the public interest in advancing arts and sciences with the copyright owner's exclusive rights. Courts apply four factors: (1) purpose and character of the use, including whether it is transformative and commercial; (2) nature of the copyrighted work; (3) amount and substantiality of the portion used; and (4) effect on the potential market or value of the original. Transformative use that adds new expression, meaning, or message and is noncommercial generally weighs in favor of fair use. Market harm considered relevant is limited to economic injury from uses that substitute for the original in its market. Mere competition or loss due to a work’s relative inferiority or superiority, such as consumer preference for accuracy or completeness in an educational transformative work, does not necessarily constitute actionable market harm. Courts distinguish harms arising from substitution from those caused by non-infringing competitive factors, like consumer choice. Consequently, even if a transformative work outperforms the original educationally, this alone often does not establish market harm sufficient to defeat fair use. The transformative character lessens the likelihood of substitution harm and the presumption of market harm is weaker or absent in nonprofit or educational contexts.</w:t>
      </w:r>
      <w:hyperlink r:id="rId13" w:history="1">
        <w:r>
          <w:rPr>
            <w:rStyle w:val="Hyperlink"/>
            <w:rFonts w:ascii="Arial" w:eastAsia="Times New Roman" w:hAnsi="Arial" w:cs="Arial"/>
            <w:b w:val="0"/>
            <w:i w:val="0"/>
            <w:strike w:val="0"/>
            <w:color w:val="467886"/>
            <w:u w:val="none"/>
          </w:rPr>
          <w:t>77 AMJUR TRIALS 449</w:t>
        </w:r>
      </w:hyperlink>
      <w:r>
        <w:rPr>
          <w:rFonts w:ascii="Arial" w:eastAsia="Times New Roman" w:hAnsi="Arial" w:cs="Arial"/>
          <w:b w:val="0"/>
          <w:i w:val="0"/>
          <w:strike w:val="0"/>
          <w:color w:val="1D1D1D"/>
          <w:u w:val="none"/>
        </w:rPr>
        <w:t xml:space="preserve">, </w:t>
      </w:r>
      <w:hyperlink r:id="rId14" w:history="1">
        <w:r>
          <w:rPr>
            <w:rStyle w:val="Hyperlink"/>
            <w:rFonts w:ascii="Arial" w:eastAsia="Times New Roman" w:hAnsi="Arial" w:cs="Arial"/>
            <w:b w:val="0"/>
            <w:i w:val="0"/>
            <w:strike w:val="0"/>
            <w:color w:val="467886"/>
            <w:u w:val="none"/>
          </w:rPr>
          <w:t>5 A.L.R. Fed. 3d Art. 6</w:t>
        </w:r>
      </w:hyperlink>
      <w:r>
        <w:rPr>
          <w:rFonts w:ascii="Arial" w:eastAsia="Times New Roman" w:hAnsi="Arial" w:cs="Arial"/>
          <w:b w:val="0"/>
          <w:i w:val="0"/>
          <w:strike w:val="0"/>
          <w:color w:val="1D1D1D"/>
          <w:u w:val="none"/>
        </w:rPr>
        <w:t xml:space="preserve">, </w:t>
      </w:r>
      <w:hyperlink r:id="rId15" w:history="1">
        <w:r>
          <w:rPr>
            <w:rStyle w:val="Hyperlink"/>
            <w:rFonts w:ascii="Arial" w:eastAsia="Times New Roman" w:hAnsi="Arial" w:cs="Arial"/>
            <w:b w:val="0"/>
            <w:i w:val="0"/>
            <w:strike w:val="0"/>
            <w:color w:val="467886"/>
            <w:u w:val="none"/>
          </w:rPr>
          <w:t>PATRYCOPY § 10:148.20</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The Second Circuit treats market substitution narrowly, focusing on whether the secondary use replaces the plaintiff’s work commercially or in licensing markets. If consumers prefer a transformative work because it is more accurate or complete but the original market remains unaffected, courts find this distinction critical: uses that merely compete but do not displace the original's market are less likely to cause actionable market harm. Moreover, courts recognize that fair use may legitimize competition where a secondary work serves a different function or purpose, especially in education. Consumer choice favoring the transformative work does not automatically imply copyright infringement or market harm in the legal sense.</w:t>
      </w:r>
      <w:hyperlink r:id="rId16" w:history="1">
        <w:r>
          <w:rPr>
            <w:rStyle w:val="Hyperlink"/>
            <w:rFonts w:ascii="Arial" w:eastAsia="Times New Roman" w:hAnsi="Arial" w:cs="Arial"/>
            <w:b w:val="0"/>
            <w:i w:val="0"/>
            <w:strike w:val="0"/>
            <w:color w:val="467886"/>
            <w:u w:val="none"/>
          </w:rPr>
          <w:t>PATRYFAIR § 6:7</w:t>
        </w:r>
      </w:hyperlink>
      <w:r>
        <w:rPr>
          <w:rFonts w:ascii="Arial" w:eastAsia="Times New Roman" w:hAnsi="Arial" w:cs="Arial"/>
          <w:b w:val="0"/>
          <w:i w:val="0"/>
          <w:strike w:val="0"/>
          <w:color w:val="1D1D1D"/>
          <w:u w:val="none"/>
        </w:rPr>
        <w:t xml:space="preserve">, </w:t>
      </w:r>
      <w:hyperlink r:id="rId17" w:history="1">
        <w:r>
          <w:rPr>
            <w:rStyle w:val="Hyperlink"/>
            <w:rFonts w:ascii="Arial" w:eastAsia="Times New Roman" w:hAnsi="Arial" w:cs="Arial"/>
            <w:b w:val="0"/>
            <w:i w:val="0"/>
            <w:strike w:val="0"/>
            <w:color w:val="467886"/>
            <w:u w:val="none"/>
          </w:rPr>
          <w:t>ATTFEEAW § 17:7</w:t>
        </w:r>
      </w:hyperlink>
      <w:r>
        <w:rPr>
          <w:rFonts w:ascii="Arial" w:eastAsia="Times New Roman" w:hAnsi="Arial" w:cs="Arial"/>
          <w:b w:val="0"/>
          <w:i w:val="0"/>
          <w:strike w:val="0"/>
          <w:color w:val="1D1D1D"/>
          <w:u w:val="none"/>
        </w:rPr>
        <w:t xml:space="preserve">, </w:t>
      </w:r>
      <w:hyperlink r:id="rId15" w:history="1">
        <w:r>
          <w:rPr>
            <w:rStyle w:val="Hyperlink"/>
            <w:rFonts w:ascii="Arial" w:eastAsia="Times New Roman" w:hAnsi="Arial" w:cs="Arial"/>
            <w:b w:val="0"/>
            <w:i w:val="0"/>
            <w:strike w:val="0"/>
            <w:color w:val="467886"/>
            <w:u w:val="none"/>
          </w:rPr>
          <w:t>PATRYCOPY § 10:148.20</w:t>
        </w:r>
      </w:hyperlink>
      <w:r>
        <w:rPr>
          <w:rFonts w:ascii="Arial" w:eastAsia="Times New Roman" w:hAnsi="Arial" w:cs="Arial"/>
          <w:b w:val="0"/>
          <w:i w:val="0"/>
          <w:strike w:val="0"/>
          <w:color w:val="1D1D1D"/>
          <w:u w:val="none"/>
        </w:rPr>
        <w:br/>
      </w:r>
    </w:p>
    <w:p w:rsidR="000911FB" w:rsidRPr="000F6139" w:rsidP="000911FB" w14:paraId="1C1F8CE1" w14:textId="40E81E35">
      <w:pPr>
        <w:pStyle w:val="Report-Body"/>
        <w:rPr>
          <w:i/>
          <w:iCs/>
          <w:color w:val="626262"/>
        </w:rPr>
      </w:pPr>
      <w:r>
        <w:rPr>
          <w:b w:val="0"/>
          <w:i/>
          <w:strike w:val="0"/>
          <w:color w:val="626262"/>
        </w:rPr>
        <w:t>Generated by AI. Not legal or tax advice. A qualified professional must verify accuracy and legal compliance.</w:t>
      </w: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6"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12</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hyperlink r:id="rId4" w:history="1">
        <w:r>
          <w:pict>
            <v:shape id="_x0000_i1037" type="#_x0000_t75" alt="KeyCite Yellow Flag" style="width:16pt;height:16pt">
              <v:imagedata r:id="rId5" o:title=""/>
            </v:shape>
          </w:pict>
        </w:r>
      </w:hyperlink>
      <w:r>
        <w:t xml:space="preserve"> </w:t>
      </w:r>
      <w:hyperlink r:id="rId6" w:history="1">
        <w:r>
          <w:rPr>
            <w:rStyle w:val="Hyperlink"/>
            <w:b/>
            <w:i w:val="0"/>
            <w:strike w:val="0"/>
            <w:color w:val="467886"/>
            <w:u w:val="single"/>
          </w:rPr>
          <w:t>Authors Guild v. Google, Inc.</w:t>
        </w:r>
      </w:hyperlink>
    </w:p>
    <w:p w:rsidR="000911FB" w:rsidRPr="00C67A9D" w:rsidP="000911FB" w14:paraId="778AA143"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October 16, 2015</w:t>
      </w:r>
      <w:r w:rsidRPr="00C67A9D">
        <w:rPr>
          <w:b w:val="0"/>
          <w:bCs w:val="0"/>
        </w:rPr>
        <w:t xml:space="preserve">   •   </w:t>
      </w:r>
      <w:r>
        <w:rPr>
          <w:b/>
          <w:i w:val="0"/>
          <w:strike w:val="0"/>
        </w:rPr>
        <w:t>804 F.3d 202</w:t>
      </w:r>
      <w:r w:rsidRPr="00C67A9D">
        <w:rPr>
          <w:b w:val="0"/>
          <w:bCs w:val="0"/>
        </w:rPr>
        <w:t xml:space="preserve">   •   </w:t>
      </w:r>
      <w:r>
        <w:rPr>
          <w:b/>
          <w:i w:val="0"/>
          <w:strike w:val="0"/>
        </w:rPr>
        <w:t>2015 WL 6079426</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that educational purpose alone does not confer fair use immunity and defining transformative use standards for digital libraries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...II. The Search and Snippet View Functions.A. Factor One. Just as there is no reason for presuming that a commercial use is not a fair use, which would defeat the most widely accepted and logically justified areas of fair use, there is likewise no reason to presume categorically that a nonprofit educational purpose should qualify as a fair use. Authors who write for educational purposes, and publishers who invest substantial funds to publish educational materials, would lose the ability to earn revenues if users were permitted to copy the materials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hyperlink r:id="rId7" w:history="1">
        <w:r>
          <w:pict>
            <v:shape id="_x0000_i1038" type="#_x0000_t75" alt="KeyCite Yellow Flag" style="width:16pt;height:16pt">
              <v:imagedata r:id="rId5" o:title=""/>
            </v:shape>
          </w:pict>
        </w:r>
      </w:hyperlink>
      <w:r>
        <w:t xml:space="preserve"> </w:t>
      </w:r>
      <w:hyperlink r:id="rId8" w:history="1">
        <w:r>
          <w:rPr>
            <w:rStyle w:val="Hyperlink"/>
            <w:b/>
            <w:i w:val="0"/>
            <w:strike w:val="0"/>
            <w:color w:val="467886"/>
            <w:u w:val="single"/>
          </w:rPr>
          <w:t>On Davis v. The Gap, Inc.</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April 10, 2001</w:t>
      </w:r>
      <w:r w:rsidRPr="00C67A9D">
        <w:rPr>
          <w:b w:val="0"/>
          <w:bCs w:val="0"/>
        </w:rPr>
        <w:t xml:space="preserve">   •   </w:t>
      </w:r>
      <w:r>
        <w:rPr>
          <w:b/>
          <w:i w:val="0"/>
          <w:strike w:val="0"/>
        </w:rPr>
        <w:t>246 F.3d 152</w:t>
      </w:r>
      <w:r w:rsidRPr="00C67A9D">
        <w:rPr>
          <w:b w:val="0"/>
          <w:bCs w:val="0"/>
        </w:rPr>
        <w:t xml:space="preserve">   •   </w:t>
      </w:r>
      <w:r>
        <w:rPr>
          <w:b/>
          <w:i w:val="0"/>
          <w:strike w:val="0"/>
        </w:rPr>
        <w:t>2001 WL 366282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Defining transformative use as work that adds something new with further purpose or different character rather than merely superseding the original</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...E. Fair Use. The central purpose of this investigation is to see, in Justice Story's words, whether the new work merely "supersede(s) the objects" of the original creation, or instead adds something new, with a further purpose or different character, altering the first with new expression, meaning, or message., in other words, whether and to what extent the new work is "transformative." Although such transformative use is not absolutely necessary for a finding of fair use, the goal of copyright, to promote science and the arts, is generally</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hyperlink r:id="rId9" w:history="1">
        <w:r>
          <w:pict>
            <v:shape id="_x0000_i1039" type="#_x0000_t75" alt="KeyCite Yellow Flag" style="width:16pt;height:16pt">
              <v:imagedata r:id="rId5" o:title=""/>
            </v:shape>
          </w:pict>
        </w:r>
      </w:hyperlink>
      <w:r>
        <w:t xml:space="preserve"> </w:t>
      </w:r>
      <w:hyperlink r:id="rId10" w:history="1">
        <w:r>
          <w:rPr>
            <w:rStyle w:val="Hyperlink"/>
            <w:b/>
            <w:i w:val="0"/>
            <w:strike w:val="0"/>
            <w:color w:val="467886"/>
            <w:u w:val="single"/>
          </w:rPr>
          <w:t>Hachette Book Group, Inc. v. Internet Archive</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September 04, 2024</w:t>
      </w:r>
      <w:r w:rsidRPr="00C67A9D">
        <w:rPr>
          <w:b w:val="0"/>
          <w:bCs w:val="0"/>
        </w:rPr>
        <w:t xml:space="preserve">   •   </w:t>
      </w:r>
      <w:r>
        <w:rPr>
          <w:b/>
          <w:i w:val="0"/>
          <w:strike w:val="0"/>
        </w:rPr>
        <w:t>115 F.4th 163</w:t>
      </w:r>
      <w:r w:rsidRPr="00C67A9D">
        <w:rPr>
          <w:b w:val="0"/>
          <w:bCs w:val="0"/>
        </w:rPr>
        <w:t xml:space="preserve">   •   </w:t>
      </w:r>
      <w:r>
        <w:rPr>
          <w:b/>
          <w:i w:val="0"/>
          <w:strike w:val="0"/>
        </w:rPr>
        <w:t>2024 WL 4031751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digital library's copying failed fair use because it substituted for rather than transformed original works, and establishing logical inference standard for market harm</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...A. Transformativeness. In sum, because IA's Free Digital Library primarily supplants the original Works without adding meaningfully new or different features that avoid unduly impinging on Publishers' rights to prepare derivative works, its use of the Works is not transformative. TVEyes, 883 F.3d at 177 ("Although transformative use is not absolutely necessary for a finding of fair use, transformative works lie at the heart of the fair use doctrine, and a use of copyrighted material that merely repackages or republishes the original is unlikely</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 xml:space="preserve">...But “[j]ust because one event follows another doesn't mean it was caused by the prior event.” *Id. </w:t>
            </w:r>
            <w:r>
              <w:rPr>
                <w:rFonts w:ascii="Arial" w:eastAsia="Times New Roman" w:hAnsi="Arial" w:cs="Arial"/>
                <w:b w:val="0"/>
                <w:i w:val="0"/>
                <w:strike w:val="0"/>
                <w:color w:val="1D1D1D"/>
              </w:rPr>
              <w:t>[^17]</w:t>
            </w:r>
            <w:r>
              <w:rPr>
                <w:rFonts w:ascii="Arial" w:eastAsia="Times New Roman" w:hAnsi="Arial" w:cs="Arial"/>
                <w:b w:val="0"/>
                <w:i w:val="0"/>
                <w:strike w:val="0"/>
                <w:color w:val="1D1D1D"/>
              </w:rPr>
              <w:t xml:space="preserve">: There were a broad range of factors at play in June 2020 for which Dr. Jørgensen's report fails to account, including the “COVID-related surge in ebook sales” which “slowed down by summer 2020” as public spaces began to reopen. </w:t>
            </w:r>
            <w:r>
              <w:rPr>
                <w:rFonts w:ascii="Arial" w:eastAsia="Times New Roman" w:hAnsi="Arial" w:cs="Arial"/>
                <w:b w:val="0"/>
                <w:i w:val="0"/>
                <w:strike w:val="0"/>
                <w:color w:val="1D1D1D"/>
              </w:rPr>
              <w:t>[^18]</w:t>
            </w:r>
            <w:r>
              <w:rPr>
                <w:rFonts w:ascii="Arial" w:eastAsia="Times New Roman" w:hAnsi="Arial" w:cs="Arial"/>
                <w:b w:val="0"/>
                <w:i w:val="0"/>
                <w:strike w:val="0"/>
                <w:color w:val="1D1D1D"/>
              </w:rPr>
              <w:t xml:space="preserve">: Though Publishers have not provided empirical data to support this observation, we routinely rely on such logical inferences where appropriate in assessing the fourth fair use factor. </w:t>
            </w:r>
            <w:r>
              <w:rPr>
                <w:rFonts w:ascii="Arial" w:eastAsia="Times New Roman" w:hAnsi="Arial" w:cs="Arial"/>
                <w:b w:val="0"/>
                <w:i w:val="0"/>
                <w:strike w:val="0"/>
                <w:color w:val="1D1D1D"/>
              </w:rPr>
              <w:t>[^19]</w:t>
            </w:r>
            <w:r>
              <w:rPr>
                <w:rFonts w:ascii="Arial" w:eastAsia="Times New Roman" w:hAnsi="Arial" w:cs="Arial"/>
                <w:b w:val="0"/>
                <w:i w:val="0"/>
                <w:strike w:val="0"/>
                <w:color w:val="1D1D1D"/>
              </w:rPr>
              <w:t xml:space="preserve">: *, </w:t>
            </w:r>
            <w:r>
              <w:rPr>
                <w:rFonts w:ascii="Arial" w:eastAsia="Times New Roman" w:hAnsi="Arial" w:cs="Arial"/>
                <w:b w:val="0"/>
                <w:i/>
                <w:strike w:val="0"/>
                <w:color w:val="1D1D1D"/>
              </w:rPr>
              <w:t>Google Books</w:t>
            </w:r>
            <w:r>
              <w:rPr>
                <w:rFonts w:ascii="Arial" w:eastAsia="Times New Roman" w:hAnsi="Arial" w:cs="Arial"/>
                <w:b w:val="0"/>
                <w:i w:val="0"/>
                <w:strike w:val="0"/>
                <w:color w:val="1D1D1D"/>
              </w:rPr>
              <w:t>,</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 xml:space="preserve">...Ultimately, the “burden of proving that the secondary use does not compete in the relevant market is... borne by the party asserting the defense.” </w:t>
            </w:r>
            <w:r>
              <w:rPr>
                <w:rFonts w:ascii="Arial" w:eastAsia="Times New Roman" w:hAnsi="Arial" w:cs="Arial"/>
                <w:b w:val="0"/>
                <w:i/>
                <w:strike w:val="0"/>
                <w:color w:val="1D1D1D"/>
              </w:rPr>
              <w:t>Warhol I</w:t>
            </w:r>
            <w:r>
              <w:rPr>
                <w:rFonts w:ascii="Arial" w:eastAsia="Times New Roman" w:hAnsi="Arial" w:cs="Arial"/>
                <w:b w:val="0"/>
                <w:i w:val="0"/>
                <w:strike w:val="0"/>
                <w:color w:val="1D1D1D"/>
              </w:rPr>
              <w:t>, 11 F.4th at 49....</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hyperlink r:id="rId11" w:history="1">
        <w:r>
          <w:pict>
            <v:shape id="_x0000_i1040" type="#_x0000_t75" alt="KeyCite Yellow Flag" style="width:16pt;height:16pt">
              <v:imagedata r:id="rId5" o:title=""/>
            </v:shape>
          </w:pict>
        </w:r>
      </w:hyperlink>
      <w:r>
        <w:t xml:space="preserve"> </w:t>
      </w:r>
      <w:hyperlink r:id="rId12" w:history="1">
        <w:r>
          <w:rPr>
            <w:rStyle w:val="Hyperlink"/>
            <w:b/>
            <w:i w:val="0"/>
            <w:strike w:val="0"/>
            <w:color w:val="467886"/>
            <w:u w:val="single"/>
          </w:rPr>
          <w:t>U.S. v. American Soc. of Composers, Authors and Publishers</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January 30, 2009</w:t>
      </w:r>
      <w:r w:rsidRPr="00C67A9D">
        <w:rPr>
          <w:b w:val="0"/>
          <w:bCs w:val="0"/>
        </w:rPr>
        <w:t xml:space="preserve">   •   </w:t>
      </w:r>
      <w:r>
        <w:rPr>
          <w:b/>
          <w:i w:val="0"/>
          <w:strike w:val="0"/>
        </w:rPr>
        <w:t>599 F.Supp.2d 415</w:t>
      </w:r>
      <w:r w:rsidRPr="00C67A9D">
        <w:rPr>
          <w:b w:val="0"/>
          <w:bCs w:val="0"/>
        </w:rPr>
        <w:t xml:space="preserve">   •   </w:t>
      </w:r>
      <w:r>
        <w:rPr>
          <w:b/>
          <w:i w:val="0"/>
          <w:strike w:val="0"/>
        </w:rPr>
        <w:t>2009 WL 484449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framework for distinguishing between permissible market harm from transformative criticism versus impermissible harm from market substitution</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...The Second Circuit explains: &gt; when secondary uses harm the market for, or value of, the original, courts must examine the source of the harm. If the harm resulted from a transformative secondary use that lowered the public's estimation of the original (such as a devastating review of a book that quotes liberally from the original to show how silly and poorly written it is), this transformative use will be found to be a fair use, notwithstanding the harm. If, on the other hand, the secondary use, by copying the first, offers itself as a market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r>
        <w:t xml:space="preserve"> </w:t>
      </w:r>
      <w:hyperlink r:id="rId13" w:history="1">
        <w:r>
          <w:rPr>
            <w:rStyle w:val="Hyperlink"/>
            <w:b/>
            <w:i w:val="0"/>
            <w:strike w:val="0"/>
            <w:color w:val="467886"/>
            <w:u w:val="single"/>
          </w:rPr>
          <w:t>Copyright Infringement Litigation</w:t>
        </w:r>
      </w:hyperlink>
    </w:p>
    <w:p w:rsidR="000911FB" w:rsidRPr="00C67A9D" w:rsidP="000911FB" w14:textId="43CA2655">
      <w:pPr>
        <w:pStyle w:val="Report-Metadata"/>
        <w:rPr>
          <w:b w:val="0"/>
          <w:bCs w:val="0"/>
        </w:rPr>
      </w:pPr>
      <w:r>
        <w:rPr>
          <w:b/>
          <w:i w:val="0"/>
          <w:strike w:val="0"/>
        </w:rPr>
        <w:t>American Jurisprudence Trials</w:t>
      </w:r>
      <w:r w:rsidRPr="00C67A9D">
        <w:rPr>
          <w:b w:val="0"/>
          <w:bCs w:val="0"/>
        </w:rPr>
        <w:t xml:space="preserve">   •   </w:t>
      </w:r>
      <w:r>
        <w:rPr>
          <w:b/>
          <w:i w:val="0"/>
          <w:strike w:val="0"/>
        </w:rPr>
        <w:t>77 AMJUR TRIALS 449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...Play based on copyrighted television series "Three's Company" was a non-infringing fair use of series, where play was a transformative parody that used familiar character elements, settings, and plot themes to turn series into an upside-down, dark version of itself, and it was not a potential market substitution for series. 17 U.S.C.A. § 107. Adjmi v. DLT Entertainment Ltd., 97 F. Supp. 3 d 512, 114 U.S.P.Q.2 d 1784 (S.D. N.Y. 2015), appeal withdrawn, (2 nd Circ. 15-1477)(June 25, 2015)....</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6</w:t>
      </w:r>
      <w:r w:rsidRPr="00755B14">
        <w:rPr>
          <w:b/>
          <w:bCs/>
        </w:rPr>
        <w:t>.</w:t>
      </w:r>
      <w:r>
        <w:t xml:space="preserve"> </w:t>
      </w:r>
      <w:r>
        <w:t xml:space="preserve"> </w:t>
      </w:r>
      <w:hyperlink r:id="rId14" w:history="1">
        <w:r>
          <w:rPr>
            <w:rStyle w:val="Hyperlink"/>
            <w:b/>
            <w:i w:val="0"/>
            <w:strike w:val="0"/>
            <w:color w:val="467886"/>
            <w:u w:val="single"/>
          </w:rPr>
          <w:t>What Constitutes Fair Use of Internet Materials Under 17 U.S.C.A. § 107</w:t>
        </w:r>
      </w:hyperlink>
    </w:p>
    <w:p w:rsidR="000911FB" w:rsidRPr="00C67A9D" w:rsidP="000911FB" w14:textId="43CA2655">
      <w:pPr>
        <w:pStyle w:val="Report-Metadata"/>
        <w:rPr>
          <w:b w:val="0"/>
          <w:bCs w:val="0"/>
        </w:rPr>
      </w:pPr>
      <w:r>
        <w:rPr>
          <w:b/>
          <w:i w:val="0"/>
          <w:strike w:val="0"/>
        </w:rPr>
        <w:t>American Law Reports ALR Federal 3d</w:t>
      </w:r>
      <w:r w:rsidRPr="00C67A9D">
        <w:rPr>
          <w:b w:val="0"/>
          <w:bCs w:val="0"/>
        </w:rPr>
        <w:t xml:space="preserve">   •   </w:t>
      </w:r>
      <w:r>
        <w:rPr>
          <w:b/>
          <w:i w:val="0"/>
          <w:strike w:val="0"/>
        </w:rPr>
        <w:t>5 A.L.R. Fed. 3d Art. 6</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...Associated Press v. Meltwater U.S. Holdings, Inc., 931 F. Supp. 2 d 537, 41 Media L. Rep. (BNA) 1777, 106 U.S.P.Q.2 d 1509 (S.D. N.Y. 2013) Where there is a fully functioning market for an infringer's use of copyrighted material, it will be difficult for the infringing party to show that it made a fair use under 17 U.S.C.A. § 107 without paying a licensing fee, noted the court. When the only possible adverse effect occasioned by a secondary use would be to a potential market or value that a copyright holder has not typically sought to, or reasonably</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7</w:t>
      </w:r>
      <w:r w:rsidRPr="00755B14">
        <w:rPr>
          <w:b/>
          <w:bCs/>
        </w:rPr>
        <w:t>.</w:t>
      </w:r>
      <w:r>
        <w:t xml:space="preserve"> </w:t>
      </w:r>
      <w:r>
        <w:t xml:space="preserve"> </w:t>
      </w:r>
      <w:hyperlink r:id="rId15" w:history="1">
        <w:r>
          <w:rPr>
            <w:rStyle w:val="Hyperlink"/>
            <w:b/>
            <w:i w:val="0"/>
            <w:strike w:val="0"/>
            <w:color w:val="467886"/>
            <w:u w:val="single"/>
          </w:rPr>
          <w:t>§ 10:148.20. Type of harm from copying and public benefit</w:t>
        </w:r>
      </w:hyperlink>
    </w:p>
    <w:p w:rsidR="000911FB" w:rsidRPr="00C67A9D" w:rsidP="000911FB" w14:textId="43CA2655">
      <w:pPr>
        <w:pStyle w:val="Report-Metadata"/>
        <w:rPr>
          <w:b w:val="0"/>
          <w:bCs w:val="0"/>
        </w:rPr>
      </w:pPr>
      <w:r>
        <w:rPr>
          <w:b/>
          <w:i w:val="0"/>
          <w:strike w:val="0"/>
        </w:rPr>
        <w:t>Patry on Copyright</w:t>
      </w:r>
      <w:r w:rsidRPr="00C67A9D">
        <w:rPr>
          <w:b w:val="0"/>
          <w:bCs w:val="0"/>
        </w:rPr>
        <w:t xml:space="preserve">   •   </w:t>
      </w:r>
      <w:r>
        <w:rPr>
          <w:b/>
          <w:i w:val="0"/>
          <w:strike w:val="0"/>
        </w:rPr>
        <w:t>PATRYCOPY § 10:148.20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...In the United States, not all harm to the market caused by unauthorized uses may be weighed under the fourth fair use factor (or, indeed, considered at all). It is only harm arising from the ability of defendant's use to act as a substitute for plaintiff's work in the marketplace that may disqualify one from successfully asserting fair use. The Second Circuit has thus held that “it is important to recall that the Factor Four analysis is concerned with only one type of economic injury to a copyright holder: the harm that results because the secondary</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...Cognizable harm under the fourth factor would certainly include one-to-one displacement of sales or other actual licensing opportunities, but would not include non-substitutional uses even within related markets, a point made in National Football Scouting, Inc. v. Rang,[35] in which a blogger who copied player ratings in the context of transformational articles was deemed not have engaged in market substitution:Rang correctly notes that (at least currently) the Scouting Reports and the articles compete in two completely separate markets: National</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8</w:t>
      </w:r>
      <w:r w:rsidRPr="00755B14">
        <w:rPr>
          <w:b/>
          <w:bCs/>
        </w:rPr>
        <w:t>.</w:t>
      </w:r>
      <w:r>
        <w:t xml:space="preserve"> </w:t>
      </w:r>
      <w:r>
        <w:t xml:space="preserve"> </w:t>
      </w:r>
      <w:hyperlink r:id="rId16" w:history="1">
        <w:r>
          <w:rPr>
            <w:rStyle w:val="Hyperlink"/>
            <w:b/>
            <w:i w:val="0"/>
            <w:strike w:val="0"/>
            <w:color w:val="467886"/>
            <w:u w:val="single"/>
          </w:rPr>
          <w:t>§ 6:7. Type of harm from copying and public benefit</w:t>
        </w:r>
      </w:hyperlink>
    </w:p>
    <w:p w:rsidR="000911FB" w:rsidRPr="00C67A9D" w:rsidP="000911FB" w14:textId="43CA2655">
      <w:pPr>
        <w:pStyle w:val="Report-Metadata"/>
        <w:rPr>
          <w:b w:val="0"/>
          <w:bCs w:val="0"/>
        </w:rPr>
      </w:pPr>
      <w:r>
        <w:rPr>
          <w:b/>
          <w:i w:val="0"/>
          <w:strike w:val="0"/>
        </w:rPr>
        <w:t>Patry on Fair Use</w:t>
      </w:r>
      <w:r w:rsidRPr="00C67A9D">
        <w:rPr>
          <w:b w:val="0"/>
          <w:bCs w:val="0"/>
        </w:rPr>
        <w:t xml:space="preserve">   •   </w:t>
      </w:r>
      <w:r>
        <w:rPr>
          <w:b/>
          <w:i w:val="0"/>
          <w:strike w:val="0"/>
        </w:rPr>
        <w:t>PATRYFAIR § 6:7</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...In the United States, not all harm to the market caused by unauthorized uses may be weighed under the fourth fair use factor (or, indeed, considered at all). It is only harm arising from the ability of defendant's use to act as a substitute for plaintiff's work in the marketplace that may disqualify one from successfully asserting fair use. The Second Circuit has thus held that “it is important to recall that the Factor Four analysis is concerned with only one type of economic injury to a copyright holder: the harm that results because the secondary</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9</w:t>
      </w:r>
      <w:r w:rsidRPr="00755B14">
        <w:rPr>
          <w:b/>
          <w:bCs/>
        </w:rPr>
        <w:t>.</w:t>
      </w:r>
      <w:r>
        <w:t xml:space="preserve"> </w:t>
      </w:r>
      <w:r>
        <w:t xml:space="preserve"> </w:t>
      </w:r>
      <w:hyperlink r:id="rId17" w:history="1">
        <w:r>
          <w:rPr>
            <w:rStyle w:val="Hyperlink"/>
            <w:b/>
            <w:i w:val="0"/>
            <w:strike w:val="0"/>
            <w:color w:val="467886"/>
            <w:u w:val="single"/>
          </w:rPr>
          <w:t>§ 17:7. The Copyright Act</w:t>
        </w:r>
      </w:hyperlink>
    </w:p>
    <w:p w:rsidR="000911FB" w:rsidRPr="00C67A9D" w:rsidP="000911FB" w14:textId="43CA2655">
      <w:pPr>
        <w:pStyle w:val="Report-Metadata"/>
        <w:rPr>
          <w:b w:val="0"/>
          <w:bCs w:val="0"/>
        </w:rPr>
      </w:pPr>
      <w:r>
        <w:rPr>
          <w:b/>
          <w:i w:val="0"/>
          <w:strike w:val="0"/>
        </w:rPr>
        <w:t>Attorney Fee Awards</w:t>
      </w:r>
      <w:r w:rsidRPr="00C67A9D">
        <w:rPr>
          <w:b w:val="0"/>
          <w:bCs w:val="0"/>
        </w:rPr>
        <w:t xml:space="preserve">   •   </w:t>
      </w:r>
      <w:r>
        <w:rPr>
          <w:b/>
          <w:i w:val="0"/>
          <w:strike w:val="0"/>
        </w:rPr>
        <w:t>ATTFEEAW § 17:7</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...If a defendant’s work performs a different function from plaintiff’s, then notwithstanding its use of substantially similar material, the defense of fair use may prevail. Fair use exists when those interested in obtaining plaintiff’s music for musical purposes would not find their need fulfilled by purchasing the defendant’s allegedly infringing work. A consumer interested in acquiring sheet music for “Magic” would not purchase the sheet music for “Rainmaker,” as it omits much of the song except the chorus, and even the portions that are included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pPr>
        <w:pStyle w:val="Report-SubheadLvl1"/>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sz w:val="26"/>
        </w:rPr>
        <w:t>Additional sources</w: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These sources are not cited in your report, but can provide context that may be helpful.</w:t>
      </w:r>
    </w:p>
    <w:p w:rsidR="000911FB" w:rsidRPr="00E5063B" w:rsidP="000911FB" w14:paraId="5C581A35" w14:textId="77777777">
      <w:pPr>
        <w:spacing w:before="113" w:after="113"/>
        <w:rPr>
          <w:rFonts w:cs="Arial"/>
          <w:b/>
          <w:sz w:val="16"/>
        </w:rPr>
      </w:pPr>
    </w:p>
    <w:p w:rsidR="000911FB" w:rsidP="000911FB" w14:paraId="3AF2579E" w14:textId="03B1B35D">
      <w:pPr>
        <w:pStyle w:val="Report-Body"/>
      </w:pPr>
      <w:r>
        <w:rPr>
          <w:b/>
          <w:i w:val="0"/>
          <w:strike w:val="0"/>
        </w:rPr>
        <w:t>10</w:t>
      </w:r>
      <w:r w:rsidRPr="00755B14">
        <w:rPr>
          <w:b/>
          <w:bCs/>
        </w:rPr>
        <w:t>.</w:t>
      </w:r>
      <w:r w:rsidRPr="00E5063B">
        <w:t xml:space="preserve"> </w:t>
      </w:r>
      <w:r>
        <w:t xml:space="preserve"> </w:t>
      </w:r>
      <w:hyperlink r:id="rId18" w:history="1">
        <w:r>
          <w:rPr>
            <w:rStyle w:val="Hyperlink"/>
            <w:b/>
            <w:i w:val="0"/>
            <w:strike w:val="0"/>
            <w:color w:val="467886"/>
            <w:u w:val="single"/>
          </w:rPr>
          <w:t>Copyright Fair Use</w:t>
        </w:r>
      </w:hyperlink>
    </w:p>
    <w:p w:rsidR="000911FB" w:rsidRPr="00C67A9D" w:rsidP="000911FB" w14:paraId="7E18259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paraId="7F67AA02"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discussing the fair use doctrine under US copyright law. This Note provides an overview of the constitutional basis and policy rationales for the fair use doctrine and the Copyright Act's provisions governing fair use. This Note explores the practical and strategic considerations for counsel advising clients on fair use and litigating related issues. It discusses the judicial weighing of fair use factors, including the purpose and character of use, nature of the copyrighted work, amount and substantiality of the portion used, and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11</w:t>
      </w:r>
      <w:r w:rsidRPr="00755B14">
        <w:rPr>
          <w:b/>
          <w:bCs/>
        </w:rPr>
        <w:t>.</w:t>
      </w:r>
      <w:r w:rsidRPr="00E5063B">
        <w:t xml:space="preserve"> </w:t>
      </w:r>
      <w:r>
        <w:t xml:space="preserve"> </w:t>
      </w:r>
      <w:hyperlink r:id="rId19" w:history="1">
        <w:r>
          <w:rPr>
            <w:rStyle w:val="Hyperlink"/>
            <w:b/>
            <w:i w:val="0"/>
            <w:strike w:val="0"/>
            <w:color w:val="467886"/>
            <w:u w:val="single"/>
          </w:rPr>
          <w:t>Generative AI and Copyright</w:t>
        </w:r>
      </w:hyperlink>
    </w:p>
    <w:p w:rsidR="000911FB" w:rsidRPr="00C67A9D" w:rsidP="000911F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discussing US copyright law issues presented by the use and training of generative AI (GenAI). This Practice Note examines whether works created using GenAI are protectable and registrable under copyright law, reviewing key US Copyright Office guidance and registration decisions. It also explores the balance businesses must strike between the efficiency benefits of using GenAI and the legal risks, including limited intellectual property protection and potential infringement of third-party rights. Furthermore, this Practice Note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12</w:t>
      </w:r>
      <w:r w:rsidRPr="00755B14">
        <w:rPr>
          <w:b/>
          <w:bCs/>
        </w:rPr>
        <w:t>.</w:t>
      </w:r>
      <w:r w:rsidRPr="00E5063B">
        <w:t xml:space="preserve"> </w:t>
      </w:r>
      <w:r>
        <w:t xml:space="preserve"> </w:t>
      </w:r>
      <w:hyperlink r:id="rId20" w:history="1">
        <w:r>
          <w:rPr>
            <w:rStyle w:val="Hyperlink"/>
            <w:b/>
            <w:i w:val="0"/>
            <w:strike w:val="0"/>
            <w:color w:val="467886"/>
            <w:u w:val="single"/>
          </w:rPr>
          <w:t>Copyright Litigation: Eighth Circuit Infringement Claims and Defenses Law Checklist</w:t>
        </w:r>
      </w:hyperlink>
    </w:p>
    <w:p w:rsidR="000911FB" w:rsidRPr="00C67A9D" w:rsidP="000911FB" w14:textId="77777777">
      <w:pPr>
        <w:pStyle w:val="Report-Metadata"/>
        <w:rPr>
          <w:b w:val="0"/>
          <w:bCs w:val="0"/>
        </w:rPr>
      </w:pPr>
      <w:r>
        <w:rPr>
          <w:b/>
          <w:i w:val="0"/>
          <w:strike w:val="0"/>
        </w:rPr>
        <w:t>Checklist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Checklist identifying the governing legal rules, principles, and standards for analyzing copyright infringement claims and defenses in cases governed by the law of the US Court of Appeals for the Eighth Circuit. This Checklist includes citations to the Copyright Act (17 U.S.C. § 101 et seq.) and to relevant decisions by the US Supreme Court, the Eighth Circuit, and district courts within the Eighth Circuit. It outlines the core elements for proving direct, contributory, and vicarious infringement claims, as well as procedural issues like the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Researching the Second Circuit's definition and application of "transformative use" under the first fair use factor, focusing on cases that analyze educational purpose and superiority claims</w:t>
      </w:r>
    </w:p>
    <w:p>
      <w:pPr>
        <w:numPr>
          <w:ilvl w:val="1"/>
          <w:numId w:val="34"/>
        </w:numPr>
        <w:rPr>
          <w:b w:val="0"/>
          <w:i w:val="0"/>
          <w:strike w:val="0"/>
        </w:rPr>
      </w:pPr>
      <w:r>
        <w:rPr>
          <w:rFonts w:ascii="Arial" w:eastAsia="Times New Roman" w:hAnsi="Arial" w:cs="Arial"/>
          <w:b w:val="0"/>
          <w:i w:val="0"/>
          <w:strike w:val="0"/>
          <w:color w:val="1D1D1D"/>
        </w:rPr>
        <w:t>Second Circuit defines transformative use as adding "something new, with a further purpose or different character." Cases like Google Books and HathiTrust established transformative uses that serve different purposes than originals.</w:t>
      </w:r>
    </w:p>
    <w:p>
      <w:pPr>
        <w:numPr>
          <w:ilvl w:val="0"/>
          <w:numId w:val="34"/>
        </w:numPr>
        <w:rPr>
          <w:b w:val="0"/>
          <w:i w:val="0"/>
          <w:strike w:val="0"/>
        </w:rPr>
      </w:pPr>
      <w:r>
        <w:rPr>
          <w:rFonts w:ascii="Arial" w:eastAsia="Times New Roman" w:hAnsi="Arial" w:cs="Arial"/>
          <w:b w:val="0"/>
          <w:i w:val="0"/>
          <w:strike w:val="0"/>
          <w:color w:val="1D1D1D"/>
        </w:rPr>
        <w:t>Examining Second Circuit precedent on market harm analysis under the fourth fair use factor, specifically how courts evaluate competition between original works and alleged fair uses in educational contexts</w:t>
      </w:r>
    </w:p>
    <w:p>
      <w:pPr>
        <w:numPr>
          <w:ilvl w:val="1"/>
          <w:numId w:val="34"/>
        </w:numPr>
        <w:rPr>
          <w:b w:val="0"/>
          <w:i w:val="0"/>
          <w:strike w:val="0"/>
        </w:rPr>
      </w:pPr>
      <w:r>
        <w:rPr>
          <w:rFonts w:ascii="Arial" w:eastAsia="Times New Roman" w:hAnsi="Arial" w:cs="Arial"/>
          <w:b w:val="0"/>
          <w:i w:val="0"/>
          <w:strike w:val="0"/>
          <w:color w:val="1D1D1D"/>
        </w:rPr>
        <w:t>Key framework from ASCAP case: Courts must examine SOURCE of harm. If harm results from transformative use lowering public estimation (like devastating review), it's fair use. If harm comes from market substitution, argues against fair use.</w:t>
      </w:r>
    </w:p>
    <w:p>
      <w:pPr>
        <w:numPr>
          <w:ilvl w:val="0"/>
          <w:numId w:val="34"/>
        </w:numPr>
        <w:rPr>
          <w:b w:val="0"/>
          <w:i w:val="0"/>
          <w:strike w:val="0"/>
        </w:rPr>
      </w:pPr>
      <w:r>
        <w:rPr>
          <w:rFonts w:ascii="Arial" w:eastAsia="Times New Roman" w:hAnsi="Arial" w:cs="Arial"/>
          <w:b w:val="0"/>
          <w:i w:val="0"/>
          <w:strike w:val="0"/>
          <w:color w:val="1D1D1D"/>
        </w:rPr>
        <w:t>Analyzing Second Circuit case law distinguishing between actionable market harm and legitimate competition in fair use determinations, particularly where transformative works compete directly with originals</w:t>
      </w:r>
    </w:p>
    <w:p>
      <w:pPr>
        <w:numPr>
          <w:ilvl w:val="1"/>
          <w:numId w:val="34"/>
        </w:numPr>
        <w:rPr>
          <w:b w:val="0"/>
          <w:i w:val="0"/>
          <w:strike w:val="0"/>
        </w:rPr>
      </w:pPr>
      <w:r>
        <w:rPr>
          <w:rFonts w:ascii="Arial" w:eastAsia="Times New Roman" w:hAnsi="Arial" w:cs="Arial"/>
          <w:b w:val="0"/>
          <w:i w:val="0"/>
          <w:strike w:val="0"/>
          <w:color w:val="1D1D1D"/>
        </w:rPr>
        <w:t>Hachette establishes clear test: Courts ask whether secondary work "usurps the market" by offering competing substitute, not whether it damages market through criticism. Logical inference standard applies - empirical causation data not required.</w:t>
      </w:r>
    </w:p>
    <w:p>
      <w:pPr>
        <w:numPr>
          <w:ilvl w:val="0"/>
          <w:numId w:val="34"/>
        </w:numPr>
        <w:rPr>
          <w:b w:val="0"/>
          <w:i w:val="0"/>
          <w:strike w:val="0"/>
        </w:rPr>
      </w:pPr>
      <w:r>
        <w:rPr>
          <w:rFonts w:ascii="Arial" w:eastAsia="Times New Roman" w:hAnsi="Arial" w:cs="Arial"/>
          <w:b w:val="0"/>
          <w:i w:val="0"/>
          <w:strike w:val="0"/>
          <w:color w:val="1D1D1D"/>
        </w:rPr>
        <w:t>Investigating Second Circuit holdings on whether educational superiority, accuracy, or completeness of a derivative work affects fair use analysis under factors one and four</w:t>
      </w:r>
    </w:p>
    <w:p>
      <w:pPr>
        <w:numPr>
          <w:ilvl w:val="1"/>
          <w:numId w:val="34"/>
        </w:numPr>
        <w:rPr>
          <w:b w:val="0"/>
          <w:i w:val="0"/>
          <w:strike w:val="0"/>
        </w:rPr>
      </w:pPr>
      <w:r>
        <w:rPr>
          <w:rFonts w:ascii="Arial" w:eastAsia="Times New Roman" w:hAnsi="Arial" w:cs="Arial"/>
          <w:b w:val="0"/>
          <w:i w:val="0"/>
          <w:strike w:val="0"/>
          <w:color w:val="1D1D1D"/>
        </w:rPr>
        <w:t>Google Books established that educational purpose alone doesn't grant fair use immunity - "Authors who write for educational purposes...would lose ability to earn revenues if users were permitted to copy materials freely merely because copying was in service of nonprofit educational mission." Educational superiority must still meet transformative use requirements.</w:t>
      </w:r>
    </w:p>
    <w:p>
      <w:pPr>
        <w:numPr>
          <w:ilvl w:val="0"/>
          <w:numId w:val="34"/>
        </w:numPr>
        <w:rPr>
          <w:b w:val="0"/>
          <w:i w:val="0"/>
          <w:strike w:val="0"/>
        </w:rPr>
      </w:pPr>
      <w:r>
        <w:rPr>
          <w:rFonts w:ascii="Arial" w:eastAsia="Times New Roman" w:hAnsi="Arial" w:cs="Arial"/>
          <w:b w:val="0"/>
          <w:i w:val="0"/>
          <w:strike w:val="0"/>
          <w:color w:val="1D1D1D"/>
        </w:rPr>
        <w:t>Researching Second Circuit decisions addressing the intersection of transformative use and market substitution when the secondary work is chosen over the original for its purported improvements</w:t>
      </w:r>
    </w:p>
    <w:p>
      <w:pPr>
        <w:numPr>
          <w:ilvl w:val="1"/>
          <w:numId w:val="34"/>
        </w:numPr>
        <w:rPr>
          <w:b w:val="0"/>
          <w:i w:val="0"/>
          <w:strike w:val="0"/>
        </w:rPr>
      </w:pPr>
      <w:r>
        <w:rPr>
          <w:rFonts w:ascii="Arial" w:eastAsia="Times New Roman" w:hAnsi="Arial" w:cs="Arial"/>
          <w:b w:val="0"/>
          <w:i w:val="0"/>
          <w:strike w:val="0"/>
          <w:color w:val="1D1D1D"/>
        </w:rPr>
        <w:t>Key principle from ASCAP case applies: When transformative work causes market harm by "lowering public's estimation of original" (like devastating review showing inaccuracies), that's permissible. But when secondary work "offers itself as market substitute," fair use fails. Transformative educational superiority that genuinely transforms purpose may qualify for former protection.</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41"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Does the transformative work serve a fundamentally different purpose from the original (such as criticism, commentary, or research) beyond merely providing more accurate or complete information?</w:t>
      </w:r>
    </w:p>
    <w:p>
      <w:pPr>
        <w:numPr>
          <w:ilvl w:val="0"/>
          <w:numId w:val="33"/>
        </w:numPr>
        <w:rPr>
          <w:b w:val="0"/>
          <w:i w:val="0"/>
          <w:strike w:val="0"/>
        </w:rPr>
      </w:pPr>
      <w:r>
        <w:rPr>
          <w:rFonts w:ascii="Arial" w:hAnsi="Arial" w:cs="Arial"/>
          <w:b/>
          <w:i w:val="0"/>
          <w:strike w:val="0"/>
          <w:color w:val="1D1D1D"/>
        </w:rPr>
        <w:t>What specific educational improvements does the secondary work claim to offer over the original (corrections, additional analysis, different methodology, etc.)?</w:t>
      </w:r>
    </w:p>
    <w:p>
      <w:pPr>
        <w:numPr>
          <w:ilvl w:val="0"/>
          <w:numId w:val="33"/>
        </w:numPr>
        <w:rPr>
          <w:b w:val="0"/>
          <w:i w:val="0"/>
          <w:strike w:val="0"/>
        </w:rPr>
      </w:pPr>
      <w:r>
        <w:rPr>
          <w:rFonts w:ascii="Arial" w:hAnsi="Arial" w:cs="Arial"/>
          <w:b/>
          <w:i w:val="0"/>
          <w:strike w:val="0"/>
          <w:color w:val="1D1D1D"/>
        </w:rPr>
        <w:t>Was the secondary work created primarily to replace the original in the same market, or does it target a different audience or serve a different educational function?</w:t>
      </w:r>
    </w:p>
    <w:p>
      <w:pPr>
        <w:numPr>
          <w:ilvl w:val="0"/>
          <w:numId w:val="33"/>
        </w:numPr>
        <w:rPr>
          <w:b w:val="0"/>
          <w:i w:val="0"/>
          <w:strike w:val="0"/>
        </w:rPr>
      </w:pPr>
      <w:r>
        <w:rPr>
          <w:rFonts w:ascii="Arial" w:hAnsi="Arial" w:cs="Arial"/>
          <w:b/>
          <w:i w:val="0"/>
          <w:strike w:val="0"/>
          <w:color w:val="1D1D1D"/>
        </w:rPr>
        <w:t>What evidence exists regarding consumer motivations for choosing the secondary work over the original?</w:t>
      </w:r>
    </w:p>
    <w:p>
      <w:pPr>
        <w:numPr>
          <w:ilvl w:val="0"/>
          <w:numId w:val="33"/>
        </w:numPr>
        <w:rPr>
          <w:b w:val="0"/>
          <w:i w:val="0"/>
          <w:strike w:val="0"/>
        </w:rPr>
      </w:pPr>
      <w:r>
        <w:rPr>
          <w:rFonts w:ascii="Arial" w:hAnsi="Arial" w:cs="Arial"/>
          <w:b/>
          <w:i w:val="0"/>
          <w:strike w:val="0"/>
          <w:color w:val="1D1D1D"/>
        </w:rPr>
        <w:t>Does the secondary work incorporate substantial portions of the original content, or does it primarily reference the original for purposes of criticism or analysis?</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21"/>
      <w:footerReference w:type="even" r:id="rId22"/>
      <w:footerReference w:type="default" r:id="rId23"/>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11</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4, 2026</w:t>
    </w:r>
    <w:r w:rsidRPr="00CA3A86" w:rsidR="00266D65">
      <w:rPr>
        <w:rFonts w:ascii="Arial" w:hAnsi="Arial" w:cs="Arial"/>
        <w:sz w:val="18"/>
        <w:szCs w:val="18"/>
      </w:rPr>
      <w:t xml:space="preserve"> at </w:t>
    </w:r>
    <w:r>
      <w:rPr>
        <w:rFonts w:ascii="Arial" w:hAnsi="Arial" w:cs="Arial"/>
        <w:b w:val="0"/>
        <w:i w:val="0"/>
        <w:strike w:val="0"/>
        <w:sz w:val="18"/>
      </w:rPr>
      <w:t>12:42 a.m.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1EB0"/>
    <w:rsid w:val="00020FD1"/>
    <w:rsid w:val="0003200D"/>
    <w:rsid w:val="00032904"/>
    <w:rsid w:val="000513CE"/>
    <w:rsid w:val="00054AE9"/>
    <w:rsid w:val="00075FC5"/>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947AC"/>
    <w:rsid w:val="00194FAC"/>
    <w:rsid w:val="0019606A"/>
    <w:rsid w:val="001B47B6"/>
    <w:rsid w:val="001B4E7F"/>
    <w:rsid w:val="001B6E29"/>
    <w:rsid w:val="001C2E92"/>
    <w:rsid w:val="001C78E3"/>
    <w:rsid w:val="001D4275"/>
    <w:rsid w:val="001E1C60"/>
    <w:rsid w:val="001F75F3"/>
    <w:rsid w:val="00201287"/>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4F25"/>
    <w:rsid w:val="004C766E"/>
    <w:rsid w:val="004D7C28"/>
    <w:rsid w:val="004F1C3B"/>
    <w:rsid w:val="00505C4B"/>
    <w:rsid w:val="00510591"/>
    <w:rsid w:val="00516B3F"/>
    <w:rsid w:val="00520D11"/>
    <w:rsid w:val="00522045"/>
    <w:rsid w:val="00522D43"/>
    <w:rsid w:val="005305F0"/>
    <w:rsid w:val="0053299B"/>
    <w:rsid w:val="00550EC5"/>
    <w:rsid w:val="0056376F"/>
    <w:rsid w:val="00566A4A"/>
    <w:rsid w:val="00566AEF"/>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707F"/>
    <w:rsid w:val="008221C5"/>
    <w:rsid w:val="00833D34"/>
    <w:rsid w:val="00833D9C"/>
    <w:rsid w:val="00853C21"/>
    <w:rsid w:val="00873ADA"/>
    <w:rsid w:val="008775B8"/>
    <w:rsid w:val="00877D32"/>
    <w:rsid w:val="008809CB"/>
    <w:rsid w:val="00884130"/>
    <w:rsid w:val="00893714"/>
    <w:rsid w:val="00897859"/>
    <w:rsid w:val="008B293F"/>
    <w:rsid w:val="008C1635"/>
    <w:rsid w:val="008C3F22"/>
    <w:rsid w:val="008C41E4"/>
    <w:rsid w:val="008C6E74"/>
    <w:rsid w:val="008D3D75"/>
    <w:rsid w:val="008D748A"/>
    <w:rsid w:val="008E22EC"/>
    <w:rsid w:val="00904C94"/>
    <w:rsid w:val="0091518F"/>
    <w:rsid w:val="00917C10"/>
    <w:rsid w:val="00926860"/>
    <w:rsid w:val="009337AC"/>
    <w:rsid w:val="0093562A"/>
    <w:rsid w:val="0094051C"/>
    <w:rsid w:val="00945A08"/>
    <w:rsid w:val="00956E15"/>
    <w:rsid w:val="00957A33"/>
    <w:rsid w:val="00971AF2"/>
    <w:rsid w:val="00974121"/>
    <w:rsid w:val="009842AD"/>
    <w:rsid w:val="0098739B"/>
    <w:rsid w:val="0099335B"/>
    <w:rsid w:val="009972E9"/>
    <w:rsid w:val="009A128A"/>
    <w:rsid w:val="009A323E"/>
    <w:rsid w:val="009A6103"/>
    <w:rsid w:val="009B42E6"/>
    <w:rsid w:val="009B789C"/>
    <w:rsid w:val="009D7141"/>
    <w:rsid w:val="00A024E9"/>
    <w:rsid w:val="00A14DA2"/>
    <w:rsid w:val="00A20A87"/>
    <w:rsid w:val="00A25B5B"/>
    <w:rsid w:val="00A25E2F"/>
    <w:rsid w:val="00A31E55"/>
    <w:rsid w:val="00A3231B"/>
    <w:rsid w:val="00A33C94"/>
    <w:rsid w:val="00A37A26"/>
    <w:rsid w:val="00A46556"/>
    <w:rsid w:val="00A5211C"/>
    <w:rsid w:val="00A61076"/>
    <w:rsid w:val="00A610D3"/>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A2401"/>
    <w:rsid w:val="00CA2EC3"/>
    <w:rsid w:val="00CA3A86"/>
    <w:rsid w:val="00CA43C5"/>
    <w:rsid w:val="00CB4C02"/>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702"/>
    <w:rsid w:val="00EB28B9"/>
    <w:rsid w:val="00EC008D"/>
    <w:rsid w:val="00EC1049"/>
    <w:rsid w:val="00EC22E0"/>
    <w:rsid w:val="00EC3CEA"/>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1.next.westlaw.com/Document/Ic33554606ae211ef806a83ea3275ddd8/View/FullText.html?transitionType=AIGuidedResearch&amp;contextData=%28sc.Default%29&amp;list=All&amp;listSource=WebsiteInternal&amp;conversationId=29596331-5780-48d9-8881-5d45cd8edba5" TargetMode="External" /><Relationship Id="rId11" Type="http://schemas.openxmlformats.org/officeDocument/2006/relationships/hyperlink" Target="https://1.next.westlaw.com/Link/RelatedInformation/Flag?docGuid=If7ce500104f711deb7e683ba170699a5&amp;ppcid=i0a89c6c10000019c262992fc86f0bf45&amp;transitionType=AIGuidedResearch&amp;contextData=%28sc.Default%29&amp;conversationId=29596331-5780-48d9-8881-5d45cd8edba5" TargetMode="External" /><Relationship Id="rId12" Type="http://schemas.openxmlformats.org/officeDocument/2006/relationships/hyperlink" Target="https://1.next.westlaw.com/Document/If7ce500104f711deb7e683ba170699a5/View/FullText.html?transitionType=AIGuidedResearch&amp;contextData=%28sc.Default%29&amp;list=All&amp;listSource=WebsiteInternal&amp;conversationId=29596331-5780-48d9-8881-5d45cd8edba5" TargetMode="External" /><Relationship Id="rId13" Type="http://schemas.openxmlformats.org/officeDocument/2006/relationships/hyperlink" Target="https://1.next.westlaw.com/Document/I710a1d28b02f11d997b78566ed1d337f/View/FullText.html?transitionType=AIGuidedResearch&amp;contextData=%28sc.Default%29&amp;list=All&amp;listSource=WebsiteInternal&amp;conversationId=29596331-5780-48d9-8881-5d45cd8edba5" TargetMode="External" /><Relationship Id="rId14" Type="http://schemas.openxmlformats.org/officeDocument/2006/relationships/hyperlink" Target="https://1.next.westlaw.com/Document/I203d5b0b7be411e59e088d7d2eb8e737/View/FullText.html?transitionType=AIGuidedResearch&amp;contextData=%28sc.Default%29&amp;list=All&amp;listSource=WebsiteInternal&amp;conversationId=29596331-5780-48d9-8881-5d45cd8edba5" TargetMode="External" /><Relationship Id="rId15" Type="http://schemas.openxmlformats.org/officeDocument/2006/relationships/hyperlink" Target="https://1.next.westlaw.com/Document/I99b3cb0c8fa811f0b0cfe16ce486ce93/View/FullText.html?transitionType=AIGuidedResearch&amp;contextData=%28sc.Default%29&amp;list=All&amp;listSource=WebsiteInternal&amp;conversationId=29596331-5780-48d9-8881-5d45cd8edba5" TargetMode="External" /><Relationship Id="rId16" Type="http://schemas.openxmlformats.org/officeDocument/2006/relationships/hyperlink" Target="https://1.next.westlaw.com/Document/If62e312176c911de98e6b24a7ac3e71f/View/FullText.html?transitionType=AIGuidedResearch&amp;contextData=%28sc.Default%29&amp;list=All&amp;listSource=WebsiteInternal&amp;conversationId=29596331-5780-48d9-8881-5d45cd8edba5" TargetMode="External" /><Relationship Id="rId17" Type="http://schemas.openxmlformats.org/officeDocument/2006/relationships/hyperlink" Target="https://1.next.westlaw.com/Document/Iac5a0f16d1fb11d98d58a0230aa72c8b/View/FullText.html?transitionType=AIGuidedResearch&amp;contextData=%28sc.Default%29&amp;list=All&amp;listSource=WebsiteInternal&amp;conversationId=29596331-5780-48d9-8881-5d45cd8edba5" TargetMode="External" /><Relationship Id="rId18" Type="http://schemas.openxmlformats.org/officeDocument/2006/relationships/hyperlink" Target="https://1.next.westlaw.com/Document/Ibb0a1264ef0511e28578f7ccc38dcbee/View/FullText.html?transitionType=AIGuidedResearch&amp;contextData=%28sc.Default%29&amp;list=All&amp;listSource=WebsiteInternal&amp;conversationId=29596331-5780-48d9-8881-5d45cd8edba5" TargetMode="External" /><Relationship Id="rId19" Type="http://schemas.openxmlformats.org/officeDocument/2006/relationships/hyperlink" Target="https://1.next.westlaw.com/Document/Ice01358921ac11ef8921fbef1a541940/View/FullText.html?transitionType=AIGuidedResearch&amp;contextData=%28sc.Default%29&amp;list=All&amp;listSource=WebsiteInternal&amp;conversationId=29596331-5780-48d9-8881-5d45cd8edba5" TargetMode="External" /><Relationship Id="rId2" Type="http://schemas.openxmlformats.org/officeDocument/2006/relationships/webSettings" Target="webSettings.xml" /><Relationship Id="rId20" Type="http://schemas.openxmlformats.org/officeDocument/2006/relationships/hyperlink" Target="https://1.next.westlaw.com/Document/I27e218d78b6011e8a5b3e3d9e23d7429/View/FullText.html?transitionType=AIGuidedResearch&amp;contextData=%28sc.Default%29&amp;list=All&amp;listSource=WebsiteInternal&amp;conversationId=29596331-5780-48d9-8881-5d45cd8edba5" TargetMode="External" /><Relationship Id="rId21" Type="http://schemas.openxmlformats.org/officeDocument/2006/relationships/header" Target="header1.xml" /><Relationship Id="rId22" Type="http://schemas.openxmlformats.org/officeDocument/2006/relationships/footer" Target="footer1.xml" /><Relationship Id="rId23" Type="http://schemas.openxmlformats.org/officeDocument/2006/relationships/footer" Target="footer2.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yperlink" Target="https://1.next.westlaw.com/Link/RelatedInformation/Flag?docGuid=I918674d4743311e5a807ad48145ed9f1&amp;ppcid=i0a89c6c10000019c262992fc86f0bf45&amp;transitionType=AIGuidedResearch&amp;contextData=%28sc.Default%29&amp;conversationId=29596331-5780-48d9-8881-5d45cd8edba5" TargetMode="External" /><Relationship Id="rId5" Type="http://schemas.openxmlformats.org/officeDocument/2006/relationships/image" Target="https://i1.next.westlaw.com/permalink/indigo/flag_yellow_small.png" TargetMode="External" /><Relationship Id="rId6" Type="http://schemas.openxmlformats.org/officeDocument/2006/relationships/hyperlink" Target="https://1.next.westlaw.com/Document/I918674d4743311e5a807ad48145ed9f1/View/FullText.html?transitionType=AIGuidedResearch&amp;contextData=%28sc.Default%29&amp;list=All&amp;listSource=WebsiteInternal&amp;conversationId=29596331-5780-48d9-8881-5d45cd8edba5" TargetMode="External" /><Relationship Id="rId7" Type="http://schemas.openxmlformats.org/officeDocument/2006/relationships/hyperlink" Target="https://1.next.westlaw.com/Link/RelatedInformation/Flag?docGuid=I48d6f39779ad11d9bf29e2067ad74e5b&amp;ppcid=i0a89c6c10000019c262992fc86f0bf45&amp;transitionType=AIGuidedResearch&amp;contextData=%28sc.Default%29&amp;conversationId=29596331-5780-48d9-8881-5d45cd8edba5" TargetMode="External" /><Relationship Id="rId8" Type="http://schemas.openxmlformats.org/officeDocument/2006/relationships/hyperlink" Target="https://1.next.westlaw.com/Document/I48d6f39779ad11d9bf29e2067ad74e5b/View/FullText.html?transitionType=AIGuidedResearch&amp;contextData=%28sc.Default%29&amp;list=All&amp;listSource=WebsiteInternal&amp;conversationId=29596331-5780-48d9-8881-5d45cd8edba5" TargetMode="External" /><Relationship Id="rId9" Type="http://schemas.openxmlformats.org/officeDocument/2006/relationships/hyperlink" Target="https://1.next.westlaw.com/Link/RelatedInformation/Flag?docGuid=Ic33554606ae211ef806a83ea3275ddd8&amp;ppcid=i0a89c6c10000019c262992fc86f0bf45&amp;transitionType=AIGuidedResearch&amp;contextData=%28sc.Default%29&amp;conversationId=29596331-5780-48d9-8881-5d45cd8edba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11</Pages>
  <Words>36</Words>
  <Characters>742</Characters>
  <Application>Microsoft Office Word</Application>
  <DocSecurity>0</DocSecurity>
  <Lines>60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Westlaw AI Deep Research</cp:lastModifiedBy>
  <cp:revision>257</cp:revision>
  <dcterms:created xsi:type="dcterms:W3CDTF">2025-07-30T20:26:00Z</dcterms:created>
  <dcterms:modified xsi:type="dcterms:W3CDTF">2025-11-18T20:12:00Z</dcterms:modified>
</cp:coreProperties>
</file>