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When analyzing "substantiality," do courts differentiate between copying factual content (dates, names, events) vs. creative expression (original phrasing, metaphors)?</w:t>
        <w:br/>
        <w:br/>
      </w:r>
      <w:r>
        <w:rPr>
          <w:b/>
          <w:i w:val="0"/>
          <w:strike w:val="0"/>
        </w:rPr>
        <w:t>Sub-questions:</w:t>
      </w:r>
      <w:r>
        <w:rPr>
          <w:b w:val="0"/>
          <w:i w:val="0"/>
          <w:strike w:val="0"/>
        </w:rPr>
        <w:br/>
        <w:br/>
        <w:t>- Are historical phrases like "one if by land, two if by sea" protectable expression or factual content?</w:t>
        <w:br/>
        <w:t>- How do courts weigh copying of factual recitation vs. creative arrangement?</w:t>
        <w:br/>
        <w:t>- Does educational context affect substantiality analysis of factual copying?</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2nd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In the Second Circuit, courts clearly differentiate between copying factual content and creative expression when analyzing substantiality in copyright infringement cases. Factual content including dates, names, and events receives no copyright protection and cannot support infringement claims.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Feist Publications, Inc. v. Rural Telephone Service Co., Inc., 499 U.S. 340 (1991)</w: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Estate of Smith v. Cash Money Records, Inc., 253 F.Supp.3d 737 (2017)</w:t>
        </w:r>
      </w:hyperlink>
      <w:r>
        <w:rPr>
          <w:rFonts w:ascii="Arial" w:eastAsia="Times New Roman" w:hAnsi="Arial" w:cs="Arial"/>
          <w:b w:val="0"/>
          <w:i w:val="0"/>
          <w:strike w:val="0"/>
          <w:color w:val="1D1D1D"/>
          <w:u w:val="none"/>
        </w:rPr>
        <w:t xml:space="preserve"> Only creative expression that meets minimal originality requirements is protectable. Historical phrases like "one if by land, two if by sea" would be unprotectable as historical facts or interpretations in the public domain. </w:t>
      </w:r>
      <w:hyperlink r:id="rId8" w:history="1">
        <w:r>
          <w:rPr>
            <w:rStyle w:val="Hyperlink"/>
            <w:rFonts w:ascii="Arial" w:eastAsia="Times New Roman" w:hAnsi="Arial" w:cs="Arial"/>
            <w:b w:val="0"/>
            <w:i w:val="0"/>
            <w:strike w:val="0"/>
            <w:color w:val="467886"/>
            <w:u w:val="none"/>
          </w:rPr>
          <w:t>Leary v. Manstan, 118 F.Supp.3d 460 (2015)</w:t>
        </w:r>
      </w:hyperlink>
      <w:r>
        <w:rPr>
          <w:rFonts w:ascii="Arial" w:eastAsia="Times New Roman" w:hAnsi="Arial" w:cs="Arial"/>
          <w:b w:val="0"/>
          <w:i w:val="0"/>
          <w:strike w:val="0"/>
          <w:color w:val="1D1D1D"/>
          <w:u w:val="none"/>
        </w:rPr>
        <w:t xml:space="preserve"> Educational context affects fair use analysis but does not alter the underlying copyrightability determination—facts remain unprotectable regardless of educational purpose. </w:t>
      </w:r>
      <w:hyperlink r:id="rId9"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Encyclopaedia Britannica Educational Corp. v. Crooks, 542 F.Supp. 1156 (1982)</w:t>
        </w:r>
      </w:hyperlink>
      <w:r>
        <w:rPr>
          <w:rFonts w:ascii="Arial" w:eastAsia="Times New Roman" w:hAnsi="Arial" w:cs="Arial"/>
          <w:b w:val="0"/>
          <w:i w:val="0"/>
          <w:strike w:val="0"/>
          <w:color w:val="1D1D1D"/>
          <w:u w:val="none"/>
        </w:rPr>
        <w:br/>
      </w:r>
    </w:p>
    <w:p>
      <w:pPr>
        <w:pStyle w:val="Heading3"/>
        <w:rPr>
          <w:b w:val="0"/>
          <w:i w:val="0"/>
          <w:strike w:val="0"/>
        </w:rPr>
      </w:pPr>
      <w:r>
        <w:rPr>
          <w:b/>
          <w:u w:val="none"/>
        </w:rPr>
        <w:t>The Fact-Expression Dichotomy Framework</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Supreme Court in </w:t>
      </w:r>
      <w:r>
        <w:rPr>
          <w:rFonts w:ascii="Arial" w:eastAsia="Times New Roman" w:hAnsi="Arial" w:cs="Arial"/>
          <w:b w:val="0"/>
          <w:i/>
          <w:strike w:val="0"/>
          <w:color w:val="1D1D1D"/>
          <w:u w:val="none"/>
        </w:rPr>
        <w:t>Feist Publications v. Rural Telephone Service Co.</w:t>
      </w:r>
      <w:r>
        <w:rPr>
          <w:rFonts w:ascii="Arial" w:eastAsia="Times New Roman" w:hAnsi="Arial" w:cs="Arial"/>
          <w:b w:val="0"/>
          <w:i w:val="0"/>
          <w:strike w:val="0"/>
          <w:color w:val="1D1D1D"/>
          <w:u w:val="none"/>
        </w:rPr>
        <w:t xml:space="preserve"> established the fundamental principle that copyright protection applies only to expression, not to ideas or facts. </w:t>
      </w:r>
      <w:hyperlink r:id="rId4"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Feist Publications, Inc. v. Rural Telephone Service Co., Inc., 499 U.S. 340 (1991)</w:t>
        </w:r>
      </w:hyperlink>
      <w:r>
        <w:rPr>
          <w:rFonts w:ascii="Arial" w:eastAsia="Times New Roman" w:hAnsi="Arial" w:cs="Arial"/>
          <w:b w:val="0"/>
          <w:i w:val="0"/>
          <w:strike w:val="0"/>
          <w:color w:val="1D1D1D"/>
          <w:u w:val="none"/>
        </w:rPr>
        <w:t xml:space="preserve"> This fact-expression dichotomy requires courts to distinguish between uncopyrightable facts and potentially copyrightable creative expression in the selection, coordination, and arrangement of those facts. The Court emphasized that "the most fundamental axiom of copyright law is that no author may copyright his ideas or the facts he narrates."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Feist Publications, Inc. v. Rural Telephone Service Co., Inc., 499 U.S. 340 (1991)</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consistently applies this principle, recognizing that "it is a fundamental principle of copyright law that the similarity between two works must concern the expression of ideas, not the ideas themselves." </w:t>
      </w:r>
      <w:hyperlink r:id="rId11"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Edwards v. Raymond, 22 F.Supp.3d 293 (2014)</w:t>
        </w:r>
      </w:hyperlink>
      <w:r>
        <w:rPr>
          <w:rFonts w:ascii="Arial" w:eastAsia="Times New Roman" w:hAnsi="Arial" w:cs="Arial"/>
          <w:b w:val="0"/>
          <w:i w:val="0"/>
          <w:strike w:val="0"/>
          <w:color w:val="1D1D1D"/>
          <w:u w:val="none"/>
        </w:rPr>
        <w:t xml:space="preserve"> This dichotomy ensures that authors receive protection for their original expression while encouraging others to build freely upon the ideas and information conveyed by a work.</w:t>
        <w:br/>
      </w:r>
    </w:p>
    <w:p>
      <w:pPr>
        <w:pStyle w:val="Heading3"/>
        <w:rPr>
          <w:b w:val="0"/>
          <w:i w:val="0"/>
          <w:strike w:val="0"/>
        </w:rPr>
      </w:pPr>
      <w:r>
        <w:rPr>
          <w:b/>
          <w:u w:val="none"/>
        </w:rPr>
        <w:t>Protection for Factual Content</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Courts provide no copyright protection for factual content. In </w:t>
      </w:r>
      <w:r>
        <w:rPr>
          <w:rFonts w:ascii="Arial" w:eastAsia="Times New Roman" w:hAnsi="Arial" w:cs="Arial"/>
          <w:b w:val="0"/>
          <w:i/>
          <w:strike w:val="0"/>
          <w:color w:val="1D1D1D"/>
          <w:u w:val="none"/>
        </w:rPr>
        <w:t>Estate of Smith v. Cash Money Records</w:t>
      </w:r>
      <w:r>
        <w:rPr>
          <w:rFonts w:ascii="Arial" w:eastAsia="Times New Roman" w:hAnsi="Arial" w:cs="Arial"/>
          <w:b w:val="0"/>
          <w:i w:val="0"/>
          <w:strike w:val="0"/>
          <w:color w:val="1D1D1D"/>
          <w:u w:val="none"/>
        </w:rPr>
        <w:t xml:space="preserve">, the Southern District of New York held that "ordinary historical facts and events are not protectable elements under the Copyright Act." </w:t>
      </w:r>
      <w:hyperlink r:id="rId7" w:history="1">
        <w:r>
          <w:rPr>
            <w:rStyle w:val="Hyperlink"/>
            <w:rFonts w:ascii="Arial" w:eastAsia="Times New Roman" w:hAnsi="Arial" w:cs="Arial"/>
            <w:b w:val="0"/>
            <w:i w:val="0"/>
            <w:strike w:val="0"/>
            <w:color w:val="467886"/>
            <w:u w:val="none"/>
          </w:rPr>
          <w:t>Estate of Smith v. Cash Money Records, Inc., 253 F.Supp.3d 737 (2017)</w:t>
        </w:r>
      </w:hyperlink>
      <w:r>
        <w:rPr>
          <w:rFonts w:ascii="Arial" w:eastAsia="Times New Roman" w:hAnsi="Arial" w:cs="Arial"/>
          <w:b w:val="0"/>
          <w:i w:val="0"/>
          <w:strike w:val="0"/>
          <w:color w:val="1D1D1D"/>
          <w:u w:val="none"/>
        </w:rPr>
        <w:t xml:space="preserve"> The court explained that only thin copyright protection exists for an original selection or arrangement of facts, but the copyright is limited to the particular selection or arrangement. </w:t>
      </w:r>
      <w:hyperlink r:id="rId7" w:history="1">
        <w:r>
          <w:rPr>
            <w:rStyle w:val="Hyperlink"/>
            <w:rFonts w:ascii="Arial" w:eastAsia="Times New Roman" w:hAnsi="Arial" w:cs="Arial"/>
            <w:b w:val="0"/>
            <w:i w:val="0"/>
            <w:strike w:val="0"/>
            <w:color w:val="467886"/>
            <w:u w:val="none"/>
          </w:rPr>
          <w:t>Estate of Smith v. Cash Money Records, Inc., 253 F.Supp.3d 737 (2017)</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Similarly, in </w:t>
      </w:r>
      <w:r>
        <w:rPr>
          <w:rFonts w:ascii="Arial" w:eastAsia="Times New Roman" w:hAnsi="Arial" w:cs="Arial"/>
          <w:b w:val="0"/>
          <w:i/>
          <w:strike w:val="0"/>
          <w:color w:val="1D1D1D"/>
          <w:u w:val="none"/>
        </w:rPr>
        <w:t>Leary v. Manstan</w:t>
      </w:r>
      <w:r>
        <w:rPr>
          <w:rFonts w:ascii="Arial" w:eastAsia="Times New Roman" w:hAnsi="Arial" w:cs="Arial"/>
          <w:b w:val="0"/>
          <w:i w:val="0"/>
          <w:strike w:val="0"/>
          <w:color w:val="1D1D1D"/>
          <w:u w:val="none"/>
        </w:rPr>
        <w:t xml:space="preserve">, the District of Connecticut emphasized that historical facts and events receive no protection, nor do interpretations of historical events, such as theories, plots, or explanatory hypotheses. </w:t>
      </w:r>
      <w:hyperlink r:id="rId8" w:history="1">
        <w:r>
          <w:rPr>
            <w:rStyle w:val="Hyperlink"/>
            <w:rFonts w:ascii="Arial" w:eastAsia="Times New Roman" w:hAnsi="Arial" w:cs="Arial"/>
            <w:b w:val="0"/>
            <w:i w:val="0"/>
            <w:strike w:val="0"/>
            <w:color w:val="467886"/>
            <w:u w:val="none"/>
          </w:rPr>
          <w:t>Leary v. Manstan, 118 F.Supp.3d 460 (2015)</w:t>
        </w:r>
      </w:hyperlink>
      <w:r>
        <w:rPr>
          <w:rFonts w:ascii="Arial" w:eastAsia="Times New Roman" w:hAnsi="Arial" w:cs="Arial"/>
          <w:b w:val="0"/>
          <w:i w:val="0"/>
          <w:strike w:val="0"/>
          <w:color w:val="1D1D1D"/>
          <w:u w:val="none"/>
        </w:rPr>
        <w:t xml:space="preserve"> The court noted that because retelling of history necessarily proceeds in certain chronological order, an author cannot hold copyright in the sequence of story elements. </w:t>
      </w:r>
      <w:hyperlink r:id="rId8" w:history="1">
        <w:r>
          <w:rPr>
            <w:rStyle w:val="Hyperlink"/>
            <w:rFonts w:ascii="Arial" w:eastAsia="Times New Roman" w:hAnsi="Arial" w:cs="Arial"/>
            <w:b w:val="0"/>
            <w:i w:val="0"/>
            <w:strike w:val="0"/>
            <w:color w:val="467886"/>
            <w:u w:val="none"/>
          </w:rPr>
          <w:t>Leary v. Manstan, 118 F.Supp.3d 460 (2015)</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has consistently held that news articles may contain protectable expression, but the underlying news facts themselves remain unprotectable. </w:t>
      </w:r>
      <w:hyperlink r:id="rId13"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Associated Press v. Meltwater U.S. Holdings, Inc., 931 F.Supp.2d 537 (2013)</w:t>
        </w:r>
      </w:hyperlink>
      <w:r>
        <w:rPr>
          <w:rFonts w:ascii="Arial" w:eastAsia="Times New Roman" w:hAnsi="Arial" w:cs="Arial"/>
          <w:b w:val="0"/>
          <w:i w:val="0"/>
          <w:strike w:val="0"/>
          <w:color w:val="1D1D1D"/>
          <w:u w:val="none"/>
        </w:rPr>
        <w:t xml:space="preserve"> As the court explained in </w:t>
      </w:r>
      <w:r>
        <w:rPr>
          <w:rFonts w:ascii="Arial" w:eastAsia="Times New Roman" w:hAnsi="Arial" w:cs="Arial"/>
          <w:b w:val="0"/>
          <w:i/>
          <w:strike w:val="0"/>
          <w:color w:val="1D1D1D"/>
          <w:u w:val="none"/>
        </w:rPr>
        <w:t>Fox News Network v. TVEyes</w:t>
      </w:r>
      <w:r>
        <w:rPr>
          <w:rFonts w:ascii="Arial" w:eastAsia="Times New Roman" w:hAnsi="Arial" w:cs="Arial"/>
          <w:b w:val="0"/>
          <w:i w:val="0"/>
          <w:strike w:val="0"/>
          <w:color w:val="1D1D1D"/>
          <w:u w:val="none"/>
        </w:rPr>
        <w:t xml:space="preserve">, "the news itself is not subject to copyright protection, but the creative expression and artistic license necessarily exercised in deciding how to portray, film, direct, stage, sequence, and communicate this information is subject to copyright protection." </w:t>
      </w:r>
      <w:hyperlink r:id="rId15"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Fox News Network, LLC v. TVEyes, Inc., 43 F.Supp.3d 379 (2014)</w:t>
        </w:r>
      </w:hyperlink>
      <w:r>
        <w:rPr>
          <w:rFonts w:ascii="Arial" w:eastAsia="Times New Roman" w:hAnsi="Arial" w:cs="Arial"/>
          <w:b w:val="0"/>
          <w:i w:val="0"/>
          <w:strike w:val="0"/>
          <w:color w:val="1D1D1D"/>
          <w:u w:val="none"/>
        </w:rPr>
        <w:br/>
      </w:r>
    </w:p>
    <w:p>
      <w:pPr>
        <w:pStyle w:val="Heading3"/>
        <w:rPr>
          <w:b w:val="0"/>
          <w:i w:val="0"/>
          <w:strike w:val="0"/>
        </w:rPr>
      </w:pPr>
      <w:r>
        <w:rPr>
          <w:b/>
          <w:u w:val="none"/>
        </w:rPr>
        <w:t>Standards for Creative Expression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Creative expression receives copyright protection only if it meets minimal originality requirements. The Supreme Court established in </w:t>
      </w:r>
      <w:r>
        <w:rPr>
          <w:rFonts w:ascii="Arial" w:eastAsia="Times New Roman" w:hAnsi="Arial" w:cs="Arial"/>
          <w:b w:val="0"/>
          <w:i/>
          <w:strike w:val="0"/>
          <w:color w:val="1D1D1D"/>
          <w:u w:val="none"/>
        </w:rPr>
        <w:t>Feist</w:t>
      </w:r>
      <w:r>
        <w:rPr>
          <w:rFonts w:ascii="Arial" w:eastAsia="Times New Roman" w:hAnsi="Arial" w:cs="Arial"/>
          <w:b w:val="0"/>
          <w:i w:val="0"/>
          <w:strike w:val="0"/>
          <w:color w:val="1D1D1D"/>
          <w:u w:val="none"/>
        </w:rPr>
        <w:t xml:space="preserve"> that originality requires independent creation plus at least some minimal degree of creativity. </w:t>
      </w:r>
      <w:hyperlink r:id="rId4"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Feist Publications, Inc. v. Rural Telephone Service Co., Inc., 499 U.S. 340 (1991)</w:t>
        </w:r>
      </w:hyperlink>
      <w:r>
        <w:rPr>
          <w:rFonts w:ascii="Arial" w:eastAsia="Times New Roman" w:hAnsi="Arial" w:cs="Arial"/>
          <w:b w:val="0"/>
          <w:i w:val="0"/>
          <w:strike w:val="0"/>
          <w:color w:val="1D1D1D"/>
          <w:u w:val="none"/>
        </w:rPr>
        <w:t xml:space="preserve"> However, not every selection, coordination, or arrangement passes this test—the facts must be selected, coordinated, or arranged in such a way as to render the work as a whole original. </w:t>
      </w:r>
      <w:hyperlink r:id="rId4"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Feist Publications, Inc. v. Rural Telephone Service Co., Inc., 499 U.S. 340 (1991)</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applies this standard rigorously. In </w:t>
      </w:r>
      <w:r>
        <w:rPr>
          <w:rFonts w:ascii="Arial" w:eastAsia="Times New Roman" w:hAnsi="Arial" w:cs="Arial"/>
          <w:b w:val="0"/>
          <w:i/>
          <w:strike w:val="0"/>
          <w:color w:val="1D1D1D"/>
          <w:u w:val="none"/>
        </w:rPr>
        <w:t>Edwards v. Raymond</w:t>
      </w:r>
      <w:r>
        <w:rPr>
          <w:rFonts w:ascii="Arial" w:eastAsia="Times New Roman" w:hAnsi="Arial" w:cs="Arial"/>
          <w:b w:val="0"/>
          <w:i w:val="0"/>
          <w:strike w:val="0"/>
          <w:color w:val="1D1D1D"/>
          <w:u w:val="none"/>
        </w:rPr>
        <w:t xml:space="preserve">, the Southern District of New York held that common phrases like "caught up" are not eligible for copyright protection because they lack originality and exist in the public domain. </w:t>
      </w:r>
      <w:hyperlink r:id="rId11" w:history="1">
        <w:r>
          <w:pict>
            <v:shape id="_x0000_i1035"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Edwards v. Raymond, 22 F.Supp.3d 293 (2014)</w:t>
        </w:r>
      </w:hyperlink>
      <w:r>
        <w:rPr>
          <w:rFonts w:ascii="Arial" w:eastAsia="Times New Roman" w:hAnsi="Arial" w:cs="Arial"/>
          <w:b w:val="0"/>
          <w:i w:val="0"/>
          <w:strike w:val="0"/>
          <w:color w:val="1D1D1D"/>
          <w:u w:val="none"/>
        </w:rPr>
        <w:t xml:space="preserve"> The court noted that only those components of a work that are original to the author are eligible for copyright protection. </w:t>
      </w:r>
      <w:hyperlink r:id="rId11" w:history="1">
        <w:r>
          <w:pict>
            <v:shape id="_x0000_i103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Edwards v. Raymond, 22 F.Supp.3d 293 (2014)</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For compilations, courts protect original selection and minimally creative arrangement of preexisting materials. </w:t>
      </w:r>
      <w:hyperlink r:id="rId17" w:history="1">
        <w:r>
          <w:pict>
            <v:shape id="_x0000_i103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8" w:history="1">
        <w:r>
          <w:rPr>
            <w:rStyle w:val="Hyperlink"/>
            <w:rFonts w:ascii="Arial" w:eastAsia="Times New Roman" w:hAnsi="Arial" w:cs="Arial"/>
            <w:b w:val="0"/>
            <w:i w:val="0"/>
            <w:strike w:val="0"/>
            <w:color w:val="467886"/>
            <w:u w:val="none"/>
          </w:rPr>
          <w:t>Matthew Bender &amp; Co., Inc. v. West Pub. Co., 158 F.3d 674 (1998)</w:t>
        </w:r>
      </w:hyperlink>
      <w:r>
        <w:rPr>
          <w:rFonts w:ascii="Arial" w:eastAsia="Times New Roman" w:hAnsi="Arial" w:cs="Arial"/>
          <w:b w:val="0"/>
          <w:i w:val="0"/>
          <w:strike w:val="0"/>
          <w:color w:val="1D1D1D"/>
          <w:u w:val="none"/>
        </w:rPr>
        <w:t xml:space="preserve"> However, this protection remains thin—subsequent compilers remain free to use the facts contained in another's publication so long as the competing work does not feature the same selection and arrangement. </w:t>
      </w:r>
      <w:hyperlink r:id="rId4" w:history="1">
        <w:r>
          <w:pict>
            <v:shape id="_x0000_i103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Feist Publications, Inc. v. Rural Telephone Service Co., Inc., 499 U.S. 340 (1991)</w:t>
        </w:r>
      </w:hyperlink>
      <w:r>
        <w:rPr>
          <w:rFonts w:ascii="Arial" w:eastAsia="Times New Roman" w:hAnsi="Arial" w:cs="Arial"/>
          <w:b w:val="0"/>
          <w:i w:val="0"/>
          <w:strike w:val="0"/>
          <w:color w:val="1D1D1D"/>
          <w:u w:val="none"/>
        </w:rPr>
        <w:br/>
      </w:r>
    </w:p>
    <w:p>
      <w:pPr>
        <w:pStyle w:val="Heading3"/>
        <w:rPr>
          <w:b w:val="0"/>
          <w:i w:val="0"/>
          <w:strike w:val="0"/>
        </w:rPr>
      </w:pPr>
      <w:r>
        <w:rPr>
          <w:b/>
          <w:u w:val="none"/>
        </w:rPr>
        <w:t>Application to Historical Phrases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Historical phrases like "one if by land, two if by sea" would be unprotectable under Second Circuit precedent. In </w:t>
      </w:r>
      <w:r>
        <w:rPr>
          <w:rFonts w:ascii="Arial" w:eastAsia="Times New Roman" w:hAnsi="Arial" w:cs="Arial"/>
          <w:b w:val="0"/>
          <w:i/>
          <w:strike w:val="0"/>
          <w:color w:val="1D1D1D"/>
          <w:u w:val="none"/>
        </w:rPr>
        <w:t>Leary v. Manstan</w:t>
      </w:r>
      <w:r>
        <w:rPr>
          <w:rFonts w:ascii="Arial" w:eastAsia="Times New Roman" w:hAnsi="Arial" w:cs="Arial"/>
          <w:b w:val="0"/>
          <w:i w:val="0"/>
          <w:strike w:val="0"/>
          <w:color w:val="1D1D1D"/>
          <w:u w:val="none"/>
        </w:rPr>
        <w:t xml:space="preserve">, the court explained that copyright law protects only the non-fiction author's original expression—the author's particular manner of selecting, coordinating, excerpting, modifying, and arranging various public domain components. </w:t>
      </w:r>
      <w:hyperlink r:id="rId8" w:history="1">
        <w:r>
          <w:rPr>
            <w:rStyle w:val="Hyperlink"/>
            <w:rFonts w:ascii="Arial" w:eastAsia="Times New Roman" w:hAnsi="Arial" w:cs="Arial"/>
            <w:b w:val="0"/>
            <w:i w:val="0"/>
            <w:strike w:val="0"/>
            <w:color w:val="467886"/>
            <w:u w:val="none"/>
          </w:rPr>
          <w:t>Leary v. Manstan, 118 F.Supp.3d 460 (2015)</w:t>
        </w:r>
      </w:hyperlink>
      <w:r>
        <w:rPr>
          <w:rFonts w:ascii="Arial" w:eastAsia="Times New Roman" w:hAnsi="Arial" w:cs="Arial"/>
          <w:b w:val="0"/>
          <w:i w:val="0"/>
          <w:strike w:val="0"/>
          <w:color w:val="1D1D1D"/>
          <w:u w:val="none"/>
        </w:rPr>
        <w:t xml:space="preserve"> Everything else, including the history described and the facts mentioned, remains in the public domain free for others to draw upon. </w:t>
      </w:r>
      <w:hyperlink r:id="rId8" w:history="1">
        <w:r>
          <w:rPr>
            <w:rStyle w:val="Hyperlink"/>
            <w:rFonts w:ascii="Arial" w:eastAsia="Times New Roman" w:hAnsi="Arial" w:cs="Arial"/>
            <w:b w:val="0"/>
            <w:i w:val="0"/>
            <w:strike w:val="0"/>
            <w:color w:val="467886"/>
            <w:u w:val="none"/>
          </w:rPr>
          <w:t>Leary v. Manstan, 118 F.Supp.3d 460 (2015)</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emphasized that absent wholesale usurpation of another's expression, claims of copyright infringement where works of history are at issue are rarely successful. </w:t>
      </w:r>
      <w:hyperlink r:id="rId8" w:history="1">
        <w:r>
          <w:rPr>
            <w:rStyle w:val="Hyperlink"/>
            <w:rFonts w:ascii="Arial" w:eastAsia="Times New Roman" w:hAnsi="Arial" w:cs="Arial"/>
            <w:b w:val="0"/>
            <w:i w:val="0"/>
            <w:strike w:val="0"/>
            <w:color w:val="467886"/>
            <w:u w:val="none"/>
          </w:rPr>
          <w:t>Leary v. Manstan, 118 F.Supp.3d 460 (2015)</w:t>
        </w:r>
      </w:hyperlink>
      <w:r>
        <w:rPr>
          <w:rFonts w:ascii="Arial" w:eastAsia="Times New Roman" w:hAnsi="Arial" w:cs="Arial"/>
          <w:b w:val="0"/>
          <w:i w:val="0"/>
          <w:strike w:val="0"/>
          <w:color w:val="1D1D1D"/>
          <w:u w:val="none"/>
        </w:rPr>
        <w:t xml:space="preserve"> Historical phrases would fall within this unprotectable category as they represent historical facts, events, or interpretations already in the public domain.</w:t>
        <w:br/>
      </w:r>
    </w:p>
    <w:p>
      <w:pPr>
        <w:pStyle w:val="Heading3"/>
        <w:rPr>
          <w:b w:val="0"/>
          <w:i w:val="0"/>
          <w:strike w:val="0"/>
        </w:rPr>
      </w:pPr>
      <w:r>
        <w:rPr>
          <w:b/>
          <w:u w:val="none"/>
        </w:rPr>
        <w:t>Educational Context and Substantiality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Educational context affects fair use analysis but does not alter the underlying copyrightability determination. In </w:t>
      </w:r>
      <w:r>
        <w:rPr>
          <w:rFonts w:ascii="Arial" w:eastAsia="Times New Roman" w:hAnsi="Arial" w:cs="Arial"/>
          <w:b w:val="0"/>
          <w:i/>
          <w:strike w:val="0"/>
          <w:color w:val="1D1D1D"/>
          <w:u w:val="none"/>
        </w:rPr>
        <w:t>Encyclopaedia Britannica Educational Corp. v. Crooks</w:t>
      </w:r>
      <w:r>
        <w:rPr>
          <w:rFonts w:ascii="Arial" w:eastAsia="Times New Roman" w:hAnsi="Arial" w:cs="Arial"/>
          <w:b w:val="0"/>
          <w:i w:val="0"/>
          <w:strike w:val="0"/>
          <w:color w:val="1D1D1D"/>
          <w:u w:val="none"/>
        </w:rPr>
        <w:t xml:space="preserve">, the Western District of New York noted that while courts have been receptive to unauthorized use of educational works, noncommercial or educational motive does not invariably sanction fair use. </w:t>
      </w:r>
      <w:hyperlink r:id="rId9" w:history="1">
        <w:r>
          <w:pict>
            <v:shape id="_x0000_i103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Encyclopaedia Britannica Educational Corp. v. Crooks, 542 F.Supp. 1156 (1982)</w:t>
        </w:r>
      </w:hyperlink>
      <w:r>
        <w:rPr>
          <w:rFonts w:ascii="Arial" w:eastAsia="Times New Roman" w:hAnsi="Arial" w:cs="Arial"/>
          <w:b w:val="0"/>
          <w:i w:val="0"/>
          <w:strike w:val="0"/>
          <w:color w:val="1D1D1D"/>
          <w:u w:val="none"/>
        </w:rPr>
        <w:t xml:space="preserve"> Educational purpose must be weighed along with other factors and is not conclusive of fair use. </w:t>
      </w:r>
      <w:hyperlink r:id="rId9" w:history="1">
        <w:r>
          <w:pict>
            <v:shape id="_x0000_i104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Encyclopaedia Britannica Educational Corp. v. Crooks, 542 F.Supp. 1156 (1982)</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recognizes that factual works receive broader scope for fair use than creative works. </w:t>
      </w:r>
      <w:hyperlink r:id="rId13" w:history="1">
        <w:r>
          <w:pict>
            <v:shape id="_x0000_i104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Associated Press v. Meltwater U.S. Holdings, Inc., 931 F.Supp.2d 537 (2013)</w:t>
        </w:r>
      </w:hyperlink>
      <w:r>
        <w:rPr>
          <w:rFonts w:ascii="Arial" w:eastAsia="Times New Roman" w:hAnsi="Arial" w:cs="Arial"/>
          <w:b w:val="0"/>
          <w:i w:val="0"/>
          <w:strike w:val="0"/>
          <w:color w:val="1D1D1D"/>
          <w:u w:val="none"/>
        </w:rPr>
        <w:t xml:space="preserve"> As explained in </w:t>
      </w:r>
      <w:r>
        <w:rPr>
          <w:rFonts w:ascii="Arial" w:eastAsia="Times New Roman" w:hAnsi="Arial" w:cs="Arial"/>
          <w:b w:val="0"/>
          <w:i/>
          <w:strike w:val="0"/>
          <w:color w:val="1D1D1D"/>
          <w:u w:val="none"/>
        </w:rPr>
        <w:t>Associated Press v. Meltwater</w:t>
      </w:r>
      <w:r>
        <w:rPr>
          <w:rFonts w:ascii="Arial" w:eastAsia="Times New Roman" w:hAnsi="Arial" w:cs="Arial"/>
          <w:b w:val="0"/>
          <w:i w:val="0"/>
          <w:strike w:val="0"/>
          <w:color w:val="1D1D1D"/>
          <w:u w:val="none"/>
        </w:rPr>
        <w:t xml:space="preserve">, works that are predominantly factual are farther from the core of intended copyright protection, and accordingly, the scope of fair use is broader with respect to factual works. </w:t>
      </w:r>
      <w:hyperlink r:id="rId13" w:history="1">
        <w:r>
          <w:pict>
            <v:shape id="_x0000_i104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Associated Press v. Meltwater U.S. Holdings, Inc., 931 F.Supp.2d 537 (2013)</w:t>
        </w:r>
      </w:hyperlink>
      <w:r>
        <w:rPr>
          <w:rFonts w:ascii="Arial" w:eastAsia="Times New Roman" w:hAnsi="Arial" w:cs="Arial"/>
          <w:b w:val="0"/>
          <w:i w:val="0"/>
          <w:strike w:val="0"/>
          <w:color w:val="1D1D1D"/>
          <w:u w:val="none"/>
        </w:rPr>
        <w:t xml:space="preserve"> However, this enhanced fair use protection does not transform unprotectable facts into protectable expression.</w:t>
      </w:r>
    </w:p>
    <w:p w:rsidR="000911FB" w:rsidRPr="00E5063B" w:rsidP="000911FB" w14:paraId="5F10F1E7" w14:textId="77777777">
      <w:pPr>
        <w:pStyle w:val="Report-Body"/>
      </w:pP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Courts distinguish between unprotectable factual content—such as dates, names, historical events, and common phrases—and protectable creative expression in copyright substantiality analyses. Factual elements, ideas, procedures, and commonly used phrases, including clichéd language and metaphors, lack copyright protection, as exemplified by expressions like “one if by land, two if by sea” or “poor white trash” deemed unprotectable stock phrases. Protection extends only to original, creative expression: unique phrasing, narrative structure, fictional plot developments, character traits, and stylistic choices that give factual material a distinctive artistic shape. Infringement requires copying of such protected expression, not mere facts or ideas</w:t>
      </w:r>
      <w:hyperlink r:id="rId19" w:history="1">
        <w:r>
          <w:rPr>
            <w:rStyle w:val="Hyperlink"/>
            <w:rFonts w:ascii="Arial" w:eastAsia="Times New Roman" w:hAnsi="Arial" w:cs="Arial"/>
            <w:b w:val="0"/>
            <w:i w:val="0"/>
            <w:strike w:val="0"/>
            <w:color w:val="467886"/>
            <w:u w:val="none"/>
          </w:rPr>
          <w:t>145 AMJUR POF 3d 1</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The substantial similarity inquiry commonly involves separating protectable expression from unprotected elements (abstraction-filtration-comparison in software contexts) and assessing whether the copied parts constitute a quantitatively and qualitatively material portion of the original. Courts rely on both objective extrinsic analysis and subjective intrinsic evaluation, focusing on overall impression rather than point-by-point comparison. Educational use or context does not alter the fundamental distinction between fact and expression in the copyright analysis, though fair use evaluations may consider purpose and character of use under 17 U.S.C. § 107. The underlying principle across cases is that copyright safeguards expression to encourage creativity without monopolizing facts or ideas</w:t>
      </w:r>
      <w:hyperlink r:id="rId19" w:history="1">
        <w:r>
          <w:rPr>
            <w:rStyle w:val="Hyperlink"/>
            <w:rFonts w:ascii="Arial" w:eastAsia="Times New Roman" w:hAnsi="Arial" w:cs="Arial"/>
            <w:b w:val="0"/>
            <w:i w:val="0"/>
            <w:strike w:val="0"/>
            <w:color w:val="467886"/>
            <w:u w:val="none"/>
          </w:rPr>
          <w:t>145 AMJUR POF 3d 1</w:t>
        </w:r>
      </w:hyperlink>
      <w:r>
        <w:rPr>
          <w:rFonts w:ascii="Arial" w:eastAsia="Times New Roman" w:hAnsi="Arial" w:cs="Arial"/>
          <w:b w:val="0"/>
          <w:i w:val="0"/>
          <w:strike w:val="0"/>
          <w:color w:val="1D1D1D"/>
          <w:u w:val="none"/>
        </w:rPr>
        <w:t xml:space="preserve">, </w:t>
      </w:r>
      <w:hyperlink r:id="rId20" w:history="1">
        <w:r>
          <w:rPr>
            <w:rStyle w:val="Hyperlink"/>
            <w:rFonts w:ascii="Arial" w:eastAsia="Times New Roman" w:hAnsi="Arial" w:cs="Arial"/>
            <w:b w:val="0"/>
            <w:i w:val="0"/>
            <w:strike w:val="0"/>
            <w:color w:val="467886"/>
            <w:u w:val="none"/>
          </w:rPr>
          <w:t>ENTERTAIN § 24:15</w:t>
        </w:r>
      </w:hyperlink>
      <w:r>
        <w:rPr>
          <w:rFonts w:ascii="Arial" w:eastAsia="Times New Roman" w:hAnsi="Arial" w:cs="Arial"/>
          <w:b w:val="0"/>
          <w:i w:val="0"/>
          <w:strike w:val="0"/>
          <w:color w:val="1D1D1D"/>
          <w:u w:val="none"/>
        </w:rPr>
        <w:t>.</w:t>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3"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13</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44" type="#_x0000_t75" alt="KeyCite Yellow Flag" style="width:16pt;height:16pt">
              <v:imagedata r:id="rId5" o:title=""/>
            </v:shape>
          </w:pict>
        </w:r>
      </w:hyperlink>
      <w:r>
        <w:t xml:space="preserve"> </w:t>
      </w:r>
      <w:hyperlink r:id="rId6" w:history="1">
        <w:r>
          <w:rPr>
            <w:rStyle w:val="Hyperlink"/>
            <w:b/>
            <w:i w:val="0"/>
            <w:strike w:val="0"/>
            <w:color w:val="467886"/>
            <w:u w:val="single"/>
          </w:rPr>
          <w:t>Feist Publications, Inc. v. Rural Telephone Service Co., Inc.</w:t>
        </w:r>
      </w:hyperlink>
    </w:p>
    <w:p w:rsidR="000911FB" w:rsidRPr="00C67A9D" w:rsidP="000911FB" w14:paraId="778AA143"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March 27, 1991</w:t>
      </w:r>
      <w:r w:rsidRPr="00C67A9D">
        <w:rPr>
          <w:b w:val="0"/>
          <w:bCs w:val="0"/>
        </w:rPr>
        <w:t xml:space="preserve">   •   </w:t>
      </w:r>
      <w:r>
        <w:rPr>
          <w:b/>
          <w:i w:val="0"/>
          <w:strike w:val="0"/>
        </w:rPr>
        <w:t>499 U.S. 340</w:t>
      </w:r>
      <w:r w:rsidRPr="00C67A9D">
        <w:rPr>
          <w:b w:val="0"/>
          <w:bCs w:val="0"/>
        </w:rPr>
        <w:t xml:space="preserve">   •   </w:t>
      </w:r>
      <w:r>
        <w:rPr>
          <w:b/>
          <w:i w:val="0"/>
          <w:strike w:val="0"/>
        </w:rPr>
        <w:t>111 S.Ct. 1282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copyright protection applies only to expression, not facts, and that compilations require minimal creativity in selection or arrangement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5</w:t>
            </w:r>
            <w:r>
              <w:rPr>
                <w:rFonts w:ascii="Arial" w:eastAsia="Times New Roman" w:hAnsi="Arial" w:cs="Arial"/>
                <w:b w:val="0"/>
                <w:i w:val="0"/>
                <w:strike w:val="0"/>
                <w:color w:val="1D1D1D"/>
              </w:rPr>
              <w:br/>
              <w:t>...Supreme Court of the United States  FEIST PUBLICATIONS, INC., Petitioner v. RURAL TELEPHONE SERVICE COMPANY, INC. No. 89–1909 Argued Jan. 9, 1991.Decided March 27, 1991....</w:t>
              <w:br/>
              <w:br/>
            </w:r>
            <w:r>
              <w:rPr>
                <w:rFonts w:ascii="Arial" w:eastAsia="Times New Roman" w:hAnsi="Arial" w:cs="Arial"/>
                <w:b/>
                <w:i w:val="0"/>
                <w:strike w:val="0"/>
                <w:color w:val="1D1D1D"/>
              </w:rPr>
              <w:t>Supporting section 2 of 5</w:t>
            </w:r>
            <w:r>
              <w:rPr>
                <w:rFonts w:ascii="Arial" w:eastAsia="Times New Roman" w:hAnsi="Arial" w:cs="Arial"/>
                <w:b w:val="0"/>
                <w:i w:val="0"/>
                <w:strike w:val="0"/>
                <w:color w:val="1D1D1D"/>
              </w:rPr>
              <w:br/>
              <w:t xml:space="preserve">...The most fundamental axiom of copyright law is that * “[n]o author may copyright his ideas or the facts he narrates.” </w:t>
            </w:r>
            <w:r>
              <w:rPr>
                <w:rFonts w:ascii="Arial" w:eastAsia="Times New Roman" w:hAnsi="Arial" w:cs="Arial"/>
                <w:b w:val="0"/>
                <w:i/>
                <w:strike w:val="0"/>
                <w:color w:val="1D1D1D"/>
              </w:rPr>
              <w:t>Harper &amp; Row, Publishers, Inc. v. Nation Enterprises,</w:t>
            </w:r>
            <w:r>
              <w:rPr>
                <w:rFonts w:ascii="Arial" w:eastAsia="Times New Roman" w:hAnsi="Arial" w:cs="Arial"/>
                <w:b w:val="0"/>
                <w:i w:val="0"/>
                <w:strike w:val="0"/>
                <w:color w:val="1D1D1D"/>
              </w:rPr>
              <w:t xml:space="preserve"> 471 U.S. 539, 556, 105 S.Ct. 2218, 2228, 85 L.Ed.2d 588 (1985)....</w:t>
              <w:br/>
              <w:br/>
            </w:r>
            <w:r>
              <w:rPr>
                <w:rFonts w:ascii="Arial" w:eastAsia="Times New Roman" w:hAnsi="Arial" w:cs="Arial"/>
                <w:b/>
                <w:i w:val="0"/>
                <w:strike w:val="0"/>
                <w:color w:val="1D1D1D"/>
              </w:rPr>
              <w:t>Supporting section 3 of 5</w:t>
            </w:r>
            <w:r>
              <w:rPr>
                <w:rFonts w:ascii="Arial" w:eastAsia="Times New Roman" w:hAnsi="Arial" w:cs="Arial"/>
                <w:b w:val="0"/>
                <w:i w:val="0"/>
                <w:strike w:val="0"/>
                <w:color w:val="1D1D1D"/>
              </w:rPr>
              <w:br/>
              <w:t>..., of the Constitution mandates originality as a prerequisite for copyright protection. The constitutional requirement necessitates independent creation plus a modicum of creativity....</w:t>
              <w:br/>
              <w:br/>
            </w:r>
            <w:r>
              <w:rPr>
                <w:rFonts w:ascii="Arial" w:eastAsia="Times New Roman" w:hAnsi="Arial" w:cs="Arial"/>
                <w:b/>
                <w:i w:val="0"/>
                <w:strike w:val="0"/>
                <w:color w:val="1D1D1D"/>
              </w:rPr>
              <w:t>Supporting section 4 of 5</w:t>
            </w:r>
            <w:r>
              <w:rPr>
                <w:rFonts w:ascii="Arial" w:eastAsia="Times New Roman" w:hAnsi="Arial" w:cs="Arial"/>
                <w:b w:val="0"/>
                <w:i w:val="0"/>
                <w:strike w:val="0"/>
                <w:color w:val="1D1D1D"/>
              </w:rPr>
              <w:br/>
              <w:t>...Not every selection, coordination, or arrangement will pass muster. This is plain from the statute. It states that, to merit protection, the facts must be selected, coordinated, or arranged “in such a way” as to render the work as a whole original. This implies that some “ways” will trigger copyright, but that others will not....</w:t>
              <w:br/>
              <w:br/>
            </w:r>
            <w:r>
              <w:rPr>
                <w:rFonts w:ascii="Arial" w:eastAsia="Times New Roman" w:hAnsi="Arial" w:cs="Arial"/>
                <w:b/>
                <w:i w:val="0"/>
                <w:strike w:val="0"/>
                <w:color w:val="1D1D1D"/>
              </w:rPr>
              <w:t>Supporting section 5 of 5</w:t>
            </w:r>
            <w:r>
              <w:rPr>
                <w:rFonts w:ascii="Arial" w:eastAsia="Times New Roman" w:hAnsi="Arial" w:cs="Arial"/>
                <w:b w:val="0"/>
                <w:i w:val="0"/>
                <w:strike w:val="0"/>
                <w:color w:val="1D1D1D"/>
              </w:rPr>
              <w:br/>
              <w:t>...This inevitably means that the copyright in a factual compilation is thin. Notwithstanding a valid copyright, a subsequent compiler remains free to use the facts contained in another's publication to aid in preparing a competing work, so long as the competing work does not feature the same selection and arrangement....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r>
        <w:t xml:space="preserve"> </w:t>
      </w:r>
      <w:hyperlink r:id="rId7" w:history="1">
        <w:r>
          <w:rPr>
            <w:rStyle w:val="Hyperlink"/>
            <w:b/>
            <w:i w:val="0"/>
            <w:strike w:val="0"/>
            <w:color w:val="467886"/>
            <w:u w:val="single"/>
          </w:rPr>
          <w:t>Estate of Smith v. Cash Money Records, Inc.</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May 30, 2017</w:t>
      </w:r>
      <w:r w:rsidRPr="00C67A9D">
        <w:rPr>
          <w:b w:val="0"/>
          <w:bCs w:val="0"/>
        </w:rPr>
        <w:t xml:space="preserve">   •   </w:t>
      </w:r>
      <w:r>
        <w:rPr>
          <w:b/>
          <w:i w:val="0"/>
          <w:strike w:val="0"/>
        </w:rPr>
        <w:t>253 F.Supp.3d 737</w:t>
      </w:r>
      <w:r w:rsidRPr="00C67A9D">
        <w:rPr>
          <w:b w:val="0"/>
          <w:bCs w:val="0"/>
        </w:rPr>
        <w:t xml:space="preserve">   •   </w:t>
      </w:r>
      <w:r>
        <w:rPr>
          <w:b/>
          <w:i w:val="0"/>
          <w:strike w:val="0"/>
        </w:rPr>
        <w:t>2017 WL 2333770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ordinary historical facts and events are not protectable under the Copyright Act</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...Ordinary historical facts and events are not protectable elements under the Copyright Act. 17 U.S.C.A. S 201....</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...Only thin copyright protection exists for an original selection or arrangement of facts, but the copyright is limited to the particular selection or arrangement. 17 U.S.C.A. S 201....</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8" w:history="1">
        <w:r>
          <w:rPr>
            <w:rStyle w:val="Hyperlink"/>
            <w:b/>
            <w:i w:val="0"/>
            <w:strike w:val="0"/>
            <w:color w:val="467886"/>
            <w:u w:val="single"/>
          </w:rPr>
          <w:t>Leary v. Manstan</w:t>
        </w:r>
      </w:hyperlink>
    </w:p>
    <w:p w:rsidR="000911FB" w:rsidRPr="00C67A9D" w:rsidP="000911FB" w14:textId="43CA2655">
      <w:pPr>
        <w:pStyle w:val="Report-Metadata"/>
        <w:rPr>
          <w:b w:val="0"/>
          <w:bCs w:val="0"/>
        </w:rPr>
      </w:pPr>
      <w:r>
        <w:rPr>
          <w:b/>
          <w:i w:val="0"/>
          <w:strike w:val="0"/>
        </w:rPr>
        <w:t>United States District Court, D. Connecticut.</w:t>
      </w:r>
      <w:r w:rsidRPr="00C67A9D">
        <w:rPr>
          <w:b w:val="0"/>
          <w:bCs w:val="0"/>
        </w:rPr>
        <w:t xml:space="preserve">   •   </w:t>
      </w:r>
      <w:r>
        <w:rPr>
          <w:b/>
          <w:i w:val="0"/>
          <w:strike w:val="0"/>
        </w:rPr>
        <w:t>July 15, 2015</w:t>
      </w:r>
      <w:r w:rsidRPr="00C67A9D">
        <w:rPr>
          <w:b w:val="0"/>
          <w:bCs w:val="0"/>
        </w:rPr>
        <w:t xml:space="preserve">   •   </w:t>
      </w:r>
      <w:r>
        <w:rPr>
          <w:b/>
          <w:i w:val="0"/>
          <w:strike w:val="0"/>
        </w:rPr>
        <w:t>118 F.Supp.3d 460</w:t>
      </w:r>
      <w:r w:rsidRPr="00C67A9D">
        <w:rPr>
          <w:b w:val="0"/>
          <w:bCs w:val="0"/>
        </w:rPr>
        <w:t xml:space="preserve">   •   </w:t>
      </w:r>
      <w:r>
        <w:rPr>
          <w:b/>
          <w:i w:val="0"/>
          <w:strike w:val="0"/>
        </w:rPr>
        <w:t>2015 WL 4392898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historical facts, events, and interpretations receive no copyright protection, with only original expression protectable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5</w:t>
            </w:r>
            <w:r>
              <w:rPr>
                <w:rFonts w:ascii="Arial" w:eastAsia="Times New Roman" w:hAnsi="Arial" w:cs="Arial"/>
                <w:b w:val="0"/>
                <w:i w:val="0"/>
                <w:strike w:val="0"/>
                <w:color w:val="1D1D1D"/>
              </w:rPr>
              <w:br/>
              <w:t>...Interpretations of historical facts or events, including theories, plots, and explanatory hypotheses, are not protectable under Copyright Act. 17 U.S.C.A. S 101 et seq....</w:t>
              <w:br/>
              <w:br/>
            </w:r>
            <w:r>
              <w:rPr>
                <w:rFonts w:ascii="Arial" w:eastAsia="Times New Roman" w:hAnsi="Arial" w:cs="Arial"/>
                <w:b/>
                <w:i w:val="0"/>
                <w:strike w:val="0"/>
                <w:color w:val="1D1D1D"/>
              </w:rPr>
              <w:t>Supporting section 2 of 5</w:t>
            </w:r>
            <w:r>
              <w:rPr>
                <w:rFonts w:ascii="Arial" w:eastAsia="Times New Roman" w:hAnsi="Arial" w:cs="Arial"/>
                <w:b w:val="0"/>
                <w:i w:val="0"/>
                <w:strike w:val="0"/>
                <w:color w:val="1D1D1D"/>
              </w:rPr>
              <w:br/>
              <w:t xml:space="preserve">...See, e.g.,* </w:t>
            </w:r>
            <w:r>
              <w:rPr>
                <w:rFonts w:ascii="Arial" w:eastAsia="Times New Roman" w:hAnsi="Arial" w:cs="Arial"/>
                <w:b w:val="0"/>
                <w:i/>
                <w:strike w:val="0"/>
                <w:color w:val="1D1D1D"/>
              </w:rPr>
              <w:t>Arica Inst., Inc. v. Palmer,</w:t>
            </w:r>
            <w:r>
              <w:rPr>
                <w:rFonts w:ascii="Arial" w:eastAsia="Times New Roman" w:hAnsi="Arial" w:cs="Arial"/>
                <w:b w:val="0"/>
                <w:i w:val="0"/>
                <w:strike w:val="0"/>
                <w:color w:val="1D1D1D"/>
              </w:rPr>
              <w:t xml:space="preserve"> 970 F.2d 1067, 1075 (2d Cir.1992) (holding that copyright law does not protect the chronological narration of historical events because such ordering is “devoid of creativity”); </w:t>
            </w:r>
            <w:r>
              <w:rPr>
                <w:rFonts w:ascii="Arial" w:eastAsia="Times New Roman" w:hAnsi="Arial" w:cs="Arial"/>
                <w:b w:val="0"/>
                <w:i/>
                <w:strike w:val="0"/>
                <w:color w:val="1D1D1D"/>
              </w:rPr>
              <w:t>Robinson,</w:t>
            </w:r>
            <w:r>
              <w:rPr>
                <w:rFonts w:ascii="Arial" w:eastAsia="Times New Roman" w:hAnsi="Arial" w:cs="Arial"/>
                <w:b w:val="0"/>
                <w:i w:val="0"/>
                <w:strike w:val="0"/>
                <w:color w:val="1D1D1D"/>
              </w:rPr>
              <w:t xml:space="preserve"> 877 F.Supp. at 836 (“[B]ecause the retelling of history necessarily proceeds in a certain chronological order, an author cannot hold a copyright in the sequence of the story's elements.”)....</w:t>
              <w:br/>
              <w:br/>
            </w:r>
            <w:r>
              <w:rPr>
                <w:rFonts w:ascii="Arial" w:eastAsia="Times New Roman" w:hAnsi="Arial" w:cs="Arial"/>
                <w:b/>
                <w:i w:val="0"/>
                <w:strike w:val="0"/>
                <w:color w:val="1D1D1D"/>
              </w:rPr>
              <w:t>Supporting section 3 of 5</w:t>
            </w:r>
            <w:r>
              <w:rPr>
                <w:rFonts w:ascii="Arial" w:eastAsia="Times New Roman" w:hAnsi="Arial" w:cs="Arial"/>
                <w:b w:val="0"/>
                <w:i w:val="0"/>
                <w:strike w:val="0"/>
                <w:color w:val="1D1D1D"/>
              </w:rPr>
              <w:br/>
              <w:t>...The only thing that copyright law protects is the non-fiction author's original expression—that is, the author's particular manner of selecting, coordinating, excerpting, modifying, and arranging various public domain components....</w:t>
              <w:br/>
              <w:br/>
            </w:r>
            <w:r>
              <w:rPr>
                <w:rFonts w:ascii="Arial" w:eastAsia="Times New Roman" w:hAnsi="Arial" w:cs="Arial"/>
                <w:b/>
                <w:i w:val="0"/>
                <w:strike w:val="0"/>
                <w:color w:val="1D1D1D"/>
              </w:rPr>
              <w:t>Supporting section 4 of 5</w:t>
            </w:r>
            <w:r>
              <w:rPr>
                <w:rFonts w:ascii="Arial" w:eastAsia="Times New Roman" w:hAnsi="Arial" w:cs="Arial"/>
                <w:b w:val="0"/>
                <w:i w:val="0"/>
                <w:strike w:val="0"/>
                <w:color w:val="1D1D1D"/>
              </w:rPr>
              <w:br/>
              <w:t xml:space="preserve">...Everything else in the work, the history it describes, the facts it mentions, and the ideas it embraces, are in the public domain free for others to draw upon. It is the peculiar </w:t>
            </w:r>
            <w:r>
              <w:rPr>
                <w:rFonts w:ascii="Arial" w:eastAsia="Times New Roman" w:hAnsi="Arial" w:cs="Arial"/>
                <w:b w:val="0"/>
                <w:i/>
                <w:strike w:val="0"/>
                <w:color w:val="1D1D1D"/>
              </w:rPr>
              <w:t>expressions</w:t>
            </w:r>
            <w:r>
              <w:rPr>
                <w:rFonts w:ascii="Arial" w:eastAsia="Times New Roman" w:hAnsi="Arial" w:cs="Arial"/>
                <w:b w:val="0"/>
                <w:i w:val="0"/>
                <w:strike w:val="0"/>
                <w:color w:val="1D1D1D"/>
              </w:rPr>
              <w:t xml:space="preserve"> of that history, those facts, and those ideas that belong exclusively to their author....</w:t>
              <w:br/>
              <w:br/>
            </w:r>
            <w:r>
              <w:rPr>
                <w:rFonts w:ascii="Arial" w:eastAsia="Times New Roman" w:hAnsi="Arial" w:cs="Arial"/>
                <w:b/>
                <w:i w:val="0"/>
                <w:strike w:val="0"/>
                <w:color w:val="1D1D1D"/>
              </w:rPr>
              <w:t>Supporting section 5 of 5</w:t>
            </w:r>
            <w:r>
              <w:rPr>
                <w:rFonts w:ascii="Arial" w:eastAsia="Times New Roman" w:hAnsi="Arial" w:cs="Arial"/>
                <w:b w:val="0"/>
                <w:i w:val="0"/>
                <w:strike w:val="0"/>
                <w:color w:val="1D1D1D"/>
              </w:rPr>
              <w:br/>
              <w:t xml:space="preserve">...This is significant, because “absent wholesale usurpation of another's expression, claims of copyright infringement where works of history are at issue are rarely successful.” </w:t>
            </w:r>
            <w:r>
              <w:rPr>
                <w:rFonts w:ascii="Arial" w:eastAsia="Times New Roman" w:hAnsi="Arial" w:cs="Arial"/>
                <w:b w:val="0"/>
                <w:i/>
                <w:strike w:val="0"/>
                <w:color w:val="1D1D1D"/>
              </w:rPr>
              <w:t>Id.</w:t>
            </w:r>
            <w:r>
              <w:rPr>
                <w:rFonts w:ascii="Arial" w:eastAsia="Times New Roman" w:hAnsi="Arial" w:cs="Arial"/>
                <w:b w:val="0"/>
                <w:i w:val="0"/>
                <w:strike w:val="0"/>
                <w:color w:val="1D1D1D"/>
              </w:rPr>
              <w:t xml:space="preserve"> at 974....</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hyperlink r:id="rId9" w:history="1">
        <w:r>
          <w:pict>
            <v:shape id="_x0000_i1045" type="#_x0000_t75" alt="KeyCite Yellow Flag" style="width:16pt;height:16pt">
              <v:imagedata r:id="rId5" o:title=""/>
            </v:shape>
          </w:pict>
        </w:r>
      </w:hyperlink>
      <w:r>
        <w:t xml:space="preserve"> </w:t>
      </w:r>
      <w:hyperlink r:id="rId10" w:history="1">
        <w:r>
          <w:rPr>
            <w:rStyle w:val="Hyperlink"/>
            <w:b/>
            <w:i w:val="0"/>
            <w:strike w:val="0"/>
            <w:color w:val="467886"/>
            <w:u w:val="single"/>
          </w:rPr>
          <w:t>Encyclopaedia Britannica Educational Corp. v. Crooks</w:t>
        </w:r>
      </w:hyperlink>
    </w:p>
    <w:p w:rsidR="000911FB" w:rsidRPr="00C67A9D" w:rsidP="000911FB" w14:textId="43CA2655">
      <w:pPr>
        <w:pStyle w:val="Report-Metadata"/>
        <w:rPr>
          <w:b w:val="0"/>
          <w:bCs w:val="0"/>
        </w:rPr>
      </w:pPr>
      <w:r>
        <w:rPr>
          <w:b/>
          <w:i w:val="0"/>
          <w:strike w:val="0"/>
        </w:rPr>
        <w:t>United States District Court, W. D. New York.</w:t>
      </w:r>
      <w:r w:rsidRPr="00C67A9D">
        <w:rPr>
          <w:b w:val="0"/>
          <w:bCs w:val="0"/>
        </w:rPr>
        <w:t xml:space="preserve">   •   </w:t>
      </w:r>
      <w:r>
        <w:rPr>
          <w:b/>
          <w:i w:val="0"/>
          <w:strike w:val="0"/>
        </w:rPr>
        <w:t>June 21, 1982</w:t>
      </w:r>
      <w:r w:rsidRPr="00C67A9D">
        <w:rPr>
          <w:b w:val="0"/>
          <w:bCs w:val="0"/>
        </w:rPr>
        <w:t xml:space="preserve">   •   </w:t>
      </w:r>
      <w:r>
        <w:rPr>
          <w:b/>
          <w:i w:val="0"/>
          <w:strike w:val="0"/>
        </w:rPr>
        <w:t>542 F.Supp. 1156</w:t>
      </w:r>
      <w:r w:rsidRPr="00C67A9D">
        <w:rPr>
          <w:b w:val="0"/>
          <w:bCs w:val="0"/>
        </w:rPr>
        <w:t xml:space="preserve">   •   </w:t>
      </w:r>
      <w:r>
        <w:rPr>
          <w:b/>
          <w:i w:val="0"/>
          <w:strike w:val="0"/>
        </w:rPr>
        <w:t>214 U.S.P.Q. 697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educational purpose does not automatically establish fair use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...While courts have tended to be most receptive to unauthorized use of educational, scientific, and historical works, such does not necessarily mean that noncommercial or educational motive will invariably sanction fair use. 17 U.S.C. (1976 Ed.) S 1(a, d)....</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...PURPOSE AND CHARACTER OF THE USE. While "courts have tended to be most receptive to unauthorized use of educational, scientific, and historical works," Triangle Publications, Inc. v. Knight-Ridder Newspapers, Inc., 626 F.2d 1171, 1176 (5th Cir. 1980), it does not necessarily mean that a non-commercial or an educational motive will invariably sanction fair use. Cf., Universal City Studios, Inc. v. Sony Corporation of America, 659 F.2d at 972, n.9 (non-commercial motive does not mean fair use). As the House Report on the New Copyrights Act noted,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1" w:history="1">
        <w:r>
          <w:pict>
            <v:shape id="_x0000_i1046" type="#_x0000_t75" alt="KeyCite Yellow Flag" style="width:16pt;height:16pt">
              <v:imagedata r:id="rId5" o:title=""/>
            </v:shape>
          </w:pict>
        </w:r>
      </w:hyperlink>
      <w:r>
        <w:t xml:space="preserve"> </w:t>
      </w:r>
      <w:hyperlink r:id="rId12" w:history="1">
        <w:r>
          <w:rPr>
            <w:rStyle w:val="Hyperlink"/>
            <w:b/>
            <w:i w:val="0"/>
            <w:strike w:val="0"/>
            <w:color w:val="467886"/>
            <w:u w:val="single"/>
          </w:rPr>
          <w:t>Edwards v. Raymond</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May 23, 2014</w:t>
      </w:r>
      <w:r w:rsidRPr="00C67A9D">
        <w:rPr>
          <w:b w:val="0"/>
          <w:bCs w:val="0"/>
        </w:rPr>
        <w:t xml:space="preserve">   •   </w:t>
      </w:r>
      <w:r>
        <w:rPr>
          <w:b/>
          <w:i w:val="0"/>
          <w:strike w:val="0"/>
        </w:rPr>
        <w:t>22 F.Supp.3d 293</w:t>
      </w:r>
      <w:r w:rsidRPr="00C67A9D">
        <w:rPr>
          <w:b w:val="0"/>
          <w:bCs w:val="0"/>
        </w:rPr>
        <w:t xml:space="preserve">   •   </w:t>
      </w:r>
      <w:r>
        <w:rPr>
          <w:b/>
          <w:i w:val="0"/>
          <w:strike w:val="0"/>
        </w:rPr>
        <w:t>2014 WL 2158932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the idea-expression dichotomy principle in substantial similarity analysis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...It is a fundamental principle of copyright law that the similarity between two works must concern the expression of ideas, not the ideas themselves; this principle, known as the "idea/expression dichotomy," assures authors the right to their original expression, but encourages others to build freely upon the ideas and information conveyed by a work....</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...Common phrases are not eligible for copyright protection, and only those components of a work that are original to the author are eligible for copyright protection....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hyperlink r:id="rId13" w:history="1">
        <w:r>
          <w:pict>
            <v:shape id="_x0000_i1047" type="#_x0000_t75" alt="KeyCite Yellow Flag" style="width:16pt;height:16pt">
              <v:imagedata r:id="rId5" o:title=""/>
            </v:shape>
          </w:pict>
        </w:r>
      </w:hyperlink>
      <w:r>
        <w:t xml:space="preserve"> </w:t>
      </w:r>
      <w:hyperlink r:id="rId14" w:history="1">
        <w:r>
          <w:rPr>
            <w:rStyle w:val="Hyperlink"/>
            <w:b/>
            <w:i w:val="0"/>
            <w:strike w:val="0"/>
            <w:color w:val="467886"/>
            <w:u w:val="single"/>
          </w:rPr>
          <w:t>Associated Press v. Meltwater U.S. Holdings, Inc.</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March 21, 2013</w:t>
      </w:r>
      <w:r w:rsidRPr="00C67A9D">
        <w:rPr>
          <w:b w:val="0"/>
          <w:bCs w:val="0"/>
        </w:rPr>
        <w:t xml:space="preserve">   •   </w:t>
      </w:r>
      <w:r>
        <w:rPr>
          <w:b/>
          <w:i w:val="0"/>
          <w:strike w:val="0"/>
        </w:rPr>
        <w:t>931 F.Supp.2d 537</w:t>
      </w:r>
      <w:r w:rsidRPr="00C67A9D">
        <w:rPr>
          <w:b w:val="0"/>
          <w:bCs w:val="0"/>
        </w:rPr>
        <w:t xml:space="preserve">   •   </w:t>
      </w:r>
      <w:r>
        <w:rPr>
          <w:b/>
          <w:i w:val="0"/>
          <w:strike w:val="0"/>
        </w:rPr>
        <w:t>2013 WL 1153979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factual works receive broader scope for fair use than creative works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...News articles may be entitled to protection under Copyright Act to the extent they contain original expression. 17 U.S.C.A. S 106....</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...B. Nature of the Copyrighted Work. The second factor-the nature of the copyrighted work-considers principally two characteristics of the copyrighted work. First, this factor calls for consideration of "whether the work is expressive or creative, such as a work of fiction, or more factual." Blanch, 467 F.3d at 256 (citation omitted). Works of fiction are "closer to the core of intended copyright protection" than are works that are predominantly factual. Infinity Broadcast Corp., 150 F.3d at 109 (citation omitted). Accordingly, the scope of fair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hyperlink r:id="rId15" w:history="1">
        <w:r>
          <w:pict>
            <v:shape id="_x0000_i1048" type="#_x0000_t75" alt="KeyCite Yellow Flag" style="width:16pt;height:16pt">
              <v:imagedata r:id="rId5" o:title=""/>
            </v:shape>
          </w:pict>
        </w:r>
      </w:hyperlink>
      <w:r>
        <w:t xml:space="preserve"> </w:t>
      </w:r>
      <w:hyperlink r:id="rId16" w:history="1">
        <w:r>
          <w:rPr>
            <w:rStyle w:val="Hyperlink"/>
            <w:b/>
            <w:i w:val="0"/>
            <w:strike w:val="0"/>
            <w:color w:val="467886"/>
            <w:u w:val="single"/>
          </w:rPr>
          <w:t>Fox News Network, LLC v. TVEyes, Inc.</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September 09, 2014</w:t>
      </w:r>
      <w:r w:rsidRPr="00C67A9D">
        <w:rPr>
          <w:b w:val="0"/>
          <w:bCs w:val="0"/>
        </w:rPr>
        <w:t xml:space="preserve">   •   </w:t>
      </w:r>
      <w:r>
        <w:rPr>
          <w:b/>
          <w:i w:val="0"/>
          <w:strike w:val="0"/>
        </w:rPr>
        <w:t>43 F.Supp.3d 379</w:t>
      </w:r>
      <w:r w:rsidRPr="00C67A9D">
        <w:rPr>
          <w:b w:val="0"/>
          <w:bCs w:val="0"/>
        </w:rPr>
        <w:t xml:space="preserve">   •   </w:t>
      </w:r>
      <w:r>
        <w:rPr>
          <w:b/>
          <w:i w:val="0"/>
          <w:strike w:val="0"/>
        </w:rPr>
        <w:t>2014 WL 4444043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Distinguishing between unprotectable news facts and protectable creative expression in news presentation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news itself is not subject to copyright protection, but the creative expression and artistic license necessarily exercised in deciding how to portray, film, direct, stage, sequence, and communicate this information is subject to copyright protection. 17 U.S.C. S 101 et seq....</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hyperlink r:id="rId17" w:history="1">
        <w:r>
          <w:pict>
            <v:shape id="_x0000_i1049" type="#_x0000_t75" alt="KeyCite Yellow Flag" style="width:16pt;height:16pt">
              <v:imagedata r:id="rId5" o:title=""/>
            </v:shape>
          </w:pict>
        </w:r>
      </w:hyperlink>
      <w:r>
        <w:t xml:space="preserve"> </w:t>
      </w:r>
      <w:hyperlink r:id="rId18" w:history="1">
        <w:r>
          <w:rPr>
            <w:rStyle w:val="Hyperlink"/>
            <w:b/>
            <w:i w:val="0"/>
            <w:strike w:val="0"/>
            <w:color w:val="467886"/>
            <w:u w:val="single"/>
          </w:rPr>
          <w:t>Matthew Bender &amp; Co., Inc. v. West Pub. Co.</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November 03, 1998</w:t>
      </w:r>
      <w:r w:rsidRPr="00C67A9D">
        <w:rPr>
          <w:b w:val="0"/>
          <w:bCs w:val="0"/>
        </w:rPr>
        <w:t xml:space="preserve">   •   </w:t>
      </w:r>
      <w:r>
        <w:rPr>
          <w:b/>
          <w:i w:val="0"/>
          <w:strike w:val="0"/>
        </w:rPr>
        <w:t>158 F.3d 674</w:t>
      </w:r>
      <w:r w:rsidRPr="00C67A9D">
        <w:rPr>
          <w:b w:val="0"/>
          <w:bCs w:val="0"/>
        </w:rPr>
        <w:t xml:space="preserve">   •   </w:t>
      </w:r>
      <w:r>
        <w:rPr>
          <w:b/>
          <w:i w:val="0"/>
          <w:strike w:val="0"/>
        </w:rPr>
        <w:t>1998 WL 764837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copyright protects original selection and creative arrangement of preexisting materials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Copyright Act protects original and minimally creative selection of preexisting, unprotected materials, such as facts, for inclusion in a work, as well as original and creative arrangement of those materials. 17 U.S.C.A. S 101 et seq....</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9" w:history="1">
        <w:r>
          <w:rPr>
            <w:rStyle w:val="Hyperlink"/>
            <w:b/>
            <w:i w:val="0"/>
            <w:strike w:val="0"/>
            <w:color w:val="467886"/>
            <w:u w:val="single"/>
          </w:rPr>
          <w:t>Copyright Infringement of Literary Works, Including Compilations and Other Fact-Based Works</w:t>
        </w:r>
      </w:hyperlink>
    </w:p>
    <w:p w:rsidR="000911FB" w:rsidRPr="00C67A9D" w:rsidP="000911FB" w14:textId="43CA2655">
      <w:pPr>
        <w:pStyle w:val="Report-Metadata"/>
        <w:rPr>
          <w:b w:val="0"/>
          <w:bCs w:val="0"/>
        </w:rPr>
      </w:pPr>
      <w:r>
        <w:rPr>
          <w:b/>
          <w:i w:val="0"/>
          <w:strike w:val="0"/>
        </w:rPr>
        <w:t>American Jurisprudence Proof of Facts 3d</w:t>
      </w:r>
      <w:r w:rsidRPr="00C67A9D">
        <w:rPr>
          <w:b w:val="0"/>
          <w:bCs w:val="0"/>
        </w:rPr>
        <w:t xml:space="preserve">   •   </w:t>
      </w:r>
      <w:r>
        <w:rPr>
          <w:b/>
          <w:i w:val="0"/>
          <w:strike w:val="0"/>
        </w:rPr>
        <w:t>145 AMJUR POF 3d 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4</w:t>
            </w:r>
            <w:r>
              <w:rPr>
                <w:rFonts w:ascii="Arial" w:eastAsia="Times New Roman" w:hAnsi="Arial" w:cs="Arial"/>
                <w:b w:val="0"/>
                <w:i w:val="0"/>
                <w:strike w:val="0"/>
                <w:color w:val="1D1D1D"/>
              </w:rPr>
              <w:br/>
              <w:t>...Works based on historical or contemporary fact are protected as any other literary work except that the portion of the work based on fact is not, in itself, protectable.[1] Thus, the historical basis of such works is not protected, only the particular expression of it. To extent that disputed works of historical fiction are similar with respect to plot structure, individual scenes, settings, or features of individual characters that reflect historical facts or interpretations, those similarities do not count toward the substantial similarity</w:t>
              <w:br/>
              <w:br/>
            </w:r>
            <w:r>
              <w:rPr>
                <w:rFonts w:ascii="Arial" w:eastAsia="Times New Roman" w:hAnsi="Arial" w:cs="Arial"/>
                <w:b/>
                <w:i w:val="0"/>
                <w:strike w:val="0"/>
                <w:color w:val="1D1D1D"/>
              </w:rPr>
              <w:t>Supporting section 2 of 4</w:t>
            </w:r>
            <w:r>
              <w:rPr>
                <w:rFonts w:ascii="Arial" w:eastAsia="Times New Roman" w:hAnsi="Arial" w:cs="Arial"/>
                <w:b w:val="0"/>
                <w:i w:val="0"/>
                <w:strike w:val="0"/>
                <w:color w:val="1D1D1D"/>
              </w:rPr>
              <w:br/>
              <w:t>...Copyright protection extends only to an author's expression of facts, not to the facts themselves.[12] Similarly, copyright protection extends only to an author's expression of ideas, not to the ideas themselves.[13] But to be entitled to copyright protection, an author's form of expression must evidence originality. “The copyright is limited to those aspects of the work—termed ‘expression’—that display the stamp of the author's originality.”[14] Thus, stock characters without developed individual characteristics are insufficiently original</w:t>
              <w:br/>
              <w:br/>
            </w:r>
            <w:r>
              <w:rPr>
                <w:rFonts w:ascii="Arial" w:eastAsia="Times New Roman" w:hAnsi="Arial" w:cs="Arial"/>
                <w:b/>
                <w:i w:val="0"/>
                <w:strike w:val="0"/>
                <w:color w:val="1D1D1D"/>
              </w:rPr>
              <w:t>Supporting section 3 of 4</w:t>
            </w:r>
            <w:r>
              <w:rPr>
                <w:rFonts w:ascii="Arial" w:eastAsia="Times New Roman" w:hAnsi="Arial" w:cs="Arial"/>
                <w:b w:val="0"/>
                <w:i w:val="0"/>
                <w:strike w:val="0"/>
                <w:color w:val="1D1D1D"/>
              </w:rPr>
              <w:br/>
              <w:t>...In the first of the two steps, a work is parsed to separate the expression of the work, which is protectable, from its underlying ideas, which are not protectable.[7] Parts of the work are dissected or cataloged to determine which elements are protectable. Expert testimony is admissible to demonstrate the protectability, or lack of it, for specific elements of a work. The extent to which the copyrighted work has protectable expression is a matter of law to be determined by the court.[8] The protectable elements in plaintiff's work are then left</w:t>
              <w:br/>
              <w:br/>
            </w:r>
            <w:r>
              <w:rPr>
                <w:rFonts w:ascii="Arial" w:eastAsia="Times New Roman" w:hAnsi="Arial" w:cs="Arial"/>
                <w:b/>
                <w:i w:val="0"/>
                <w:strike w:val="0"/>
                <w:color w:val="1D1D1D"/>
              </w:rPr>
              <w:t>Supporting section 4 of 4</w:t>
            </w:r>
            <w:r>
              <w:rPr>
                <w:rFonts w:ascii="Arial" w:eastAsia="Times New Roman" w:hAnsi="Arial" w:cs="Arial"/>
                <w:b w:val="0"/>
                <w:i w:val="0"/>
                <w:strike w:val="0"/>
                <w:color w:val="1D1D1D"/>
              </w:rPr>
              <w:br/>
              <w:t>...The test of “substantial similarity” in copyright infringement actions is one of the most complex in law, both to formulate as well as apply, and the tests for determining the issue are necessarily imprecise.[1] Nevertheless, the trier of fact must draw a line between that which is substantially similar and that which is not. Duplication of every detail or exact copying is not necessary to establish infringement. Trivial or minor differences between the works are not determinative. Infringement can be found even if only a small part of a copyrighted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20" w:history="1">
        <w:r>
          <w:rPr>
            <w:rStyle w:val="Hyperlink"/>
            <w:b/>
            <w:i w:val="0"/>
            <w:strike w:val="0"/>
            <w:color w:val="467886"/>
            <w:u w:val="single"/>
          </w:rPr>
          <w:t>§ 24:15. Key legal issues in training</w:t>
        </w:r>
      </w:hyperlink>
    </w:p>
    <w:p w:rsidR="000911FB" w:rsidRPr="00C67A9D" w:rsidP="000911FB" w14:textId="43CA2655">
      <w:pPr>
        <w:pStyle w:val="Report-Metadata"/>
        <w:rPr>
          <w:b w:val="0"/>
          <w:bCs w:val="0"/>
        </w:rPr>
      </w:pPr>
      <w:r>
        <w:rPr>
          <w:b/>
          <w:i w:val="0"/>
          <w:strike w:val="0"/>
        </w:rPr>
        <w:t>Entertainment Law 3d: Legal Concepts and Business Practices</w:t>
      </w:r>
      <w:r w:rsidRPr="00C67A9D">
        <w:rPr>
          <w:b w:val="0"/>
          <w:bCs w:val="0"/>
        </w:rPr>
        <w:t xml:space="preserve">   •   </w:t>
      </w:r>
      <w:r>
        <w:rPr>
          <w:b/>
          <w:i w:val="0"/>
          <w:strike w:val="0"/>
        </w:rPr>
        <w:t>ENTERTAIN § 24:15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affirmative defense of fair use is a four-factor test evaluating (1) the purpose and character of the use, including whether such use is of a commercial nature or is for nonprofit educational purposes, (2) the nature of the copyrighted work, (3) the amount and substantiality of the portion used in relation to the copyrighted work as a whole, and (4) the effect of the use upon the potential market for or value of the copyrighted work.[5] Since fair use is a question of law, the weighing of the four factors and ultimate decision regarding</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11</w:t>
      </w:r>
      <w:r w:rsidRPr="00755B14">
        <w:rPr>
          <w:b/>
          <w:bCs/>
        </w:rPr>
        <w:t>.</w:t>
      </w:r>
      <w:r w:rsidRPr="00E5063B">
        <w:t xml:space="preserve"> </w:t>
      </w:r>
      <w:r>
        <w:t xml:space="preserve"> </w:t>
      </w:r>
      <w:hyperlink r:id="rId21" w:history="1">
        <w:r>
          <w:rPr>
            <w:rStyle w:val="Hyperlink"/>
            <w:b/>
            <w:i w:val="0"/>
            <w:strike w:val="0"/>
            <w:color w:val="467886"/>
            <w:u w:val="single"/>
          </w:rPr>
          <w:t>Copyright Litigation: Analyzing Substantial Similarity</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the significance of similarities and dissimilarities between works in copyright litigation. This Note explains how courts compare works for purposes of evaluating copyright infringement claims. Topics discussed include the elements of copyright infringement, actual copying, substantial similarity (infringing copying), analyzing substantial similarity for specific categories of works, evidentiary considerations, and practical considerations for counseling on and litigating substantial similarity.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22" w:history="1">
        <w:r>
          <w:rPr>
            <w:rStyle w:val="Hyperlink"/>
            <w:b/>
            <w:i w:val="0"/>
            <w:strike w:val="0"/>
            <w:color w:val="467886"/>
            <w:u w:val="single"/>
          </w:rPr>
          <w:t>Copyright Litigation: First Circuit Infringement Claims and Defenses Law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describing the applicable law for analysis of copyright infringement claims and defenses in the US Court of Appeals for the First Circuit, including case citations. This Checklist identifies the many rules, principles, and standards governing copyright infringement litigation in First Circuit courts, including direct and indirect infringement, the registration requirement, proving ownership and protectability, proving copying (through access and substantial similarity), key defenses like fair use, and remedies (including damages, injunctive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13</w:t>
      </w:r>
      <w:r w:rsidRPr="00755B14">
        <w:rPr>
          <w:b/>
          <w:bCs/>
        </w:rPr>
        <w:t>.</w:t>
      </w:r>
      <w:r w:rsidRPr="00E5063B">
        <w:t xml:space="preserve"> </w:t>
      </w:r>
      <w:r>
        <w:t xml:space="preserve"> </w:t>
      </w:r>
      <w:hyperlink r:id="rId23" w:history="1">
        <w:r>
          <w:rPr>
            <w:rStyle w:val="Hyperlink"/>
            <w:b/>
            <w:i w:val="0"/>
            <w:strike w:val="0"/>
            <w:color w:val="467886"/>
            <w:u w:val="single"/>
          </w:rPr>
          <w:t>Copyright Litigation: Tenth Circuit Infringement Claims and Defenses Law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describing the applicable law for analysis of copyright infringement claims and defenses in the US Court of Appeals for the Tenth Circuit, including case citations. This Checklist identifies the many legal rules, principles, and standards that Tenth Circuit courts have set out for assessing copyright infringement liability, and is useful for finding legal authority to support cease and desist letters, memoranda, and briefs requiring citation to Tenth Circuit law.</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Second Circuit precedent on the qualitative analysis of "substantiality" in copyright infringement cases, focusing on distinctions between factual and creative elements under the substantial similarity test.</w:t>
      </w:r>
    </w:p>
    <w:p>
      <w:pPr>
        <w:numPr>
          <w:ilvl w:val="1"/>
          <w:numId w:val="34"/>
        </w:numPr>
        <w:rPr>
          <w:b w:val="0"/>
          <w:i w:val="0"/>
          <w:strike w:val="0"/>
        </w:rPr>
      </w:pPr>
      <w:r>
        <w:rPr>
          <w:rFonts w:ascii="Arial" w:eastAsia="Times New Roman" w:hAnsi="Arial" w:cs="Arial"/>
          <w:b w:val="0"/>
          <w:i w:val="0"/>
          <w:strike w:val="0"/>
          <w:color w:val="1D1D1D"/>
        </w:rPr>
        <w:t>Second Circuit applies qualitative substantiality test distinguishing factual content from creative expression. Courts examine whether copying involves protected original expression vs. uncopyrightable facts/ideas under idea-expression dichotomy.</w:t>
      </w:r>
    </w:p>
    <w:p>
      <w:pPr>
        <w:numPr>
          <w:ilvl w:val="0"/>
          <w:numId w:val="34"/>
        </w:numPr>
        <w:rPr>
          <w:b w:val="0"/>
          <w:i w:val="0"/>
          <w:strike w:val="0"/>
        </w:rPr>
      </w:pPr>
      <w:r>
        <w:rPr>
          <w:rFonts w:ascii="Arial" w:eastAsia="Times New Roman" w:hAnsi="Arial" w:cs="Arial"/>
          <w:b w:val="0"/>
          <w:i w:val="0"/>
          <w:strike w:val="0"/>
          <w:color w:val="1D1D1D"/>
        </w:rPr>
        <w:t>Examining Second Circuit case law addressing the copyrightability and infringement analysis of factual content versus creative expression, particularly regarding the idea-expression dichotomy in substantiality determinations.</w:t>
      </w:r>
    </w:p>
    <w:p>
      <w:pPr>
        <w:numPr>
          <w:ilvl w:val="1"/>
          <w:numId w:val="34"/>
        </w:numPr>
        <w:rPr>
          <w:b w:val="0"/>
          <w:i w:val="0"/>
          <w:strike w:val="0"/>
        </w:rPr>
      </w:pPr>
      <w:r>
        <w:rPr>
          <w:rFonts w:ascii="Arial" w:eastAsia="Times New Roman" w:hAnsi="Arial" w:cs="Arial"/>
          <w:b w:val="0"/>
          <w:i w:val="0"/>
          <w:strike w:val="0"/>
          <w:color w:val="1D1D1D"/>
        </w:rPr>
        <w:t>Factual content (dates, names, events) receives no copyright protection. Only "thin" protection for original selection/arrangement of facts. Historical facts and interpretations are unprotectable. Common phrases like "caught up" lack originality for protection.</w:t>
      </w:r>
    </w:p>
    <w:p>
      <w:pPr>
        <w:numPr>
          <w:ilvl w:val="0"/>
          <w:numId w:val="34"/>
        </w:numPr>
        <w:rPr>
          <w:b w:val="0"/>
          <w:i w:val="0"/>
          <w:strike w:val="0"/>
        </w:rPr>
      </w:pPr>
      <w:r>
        <w:rPr>
          <w:rFonts w:ascii="Arial" w:eastAsia="Times New Roman" w:hAnsi="Arial" w:cs="Arial"/>
          <w:b w:val="0"/>
          <w:i w:val="0"/>
          <w:strike w:val="0"/>
          <w:color w:val="1D1D1D"/>
        </w:rPr>
        <w:t>Analyzing Second Circuit decisions that specifically address whether courts apply different standards when evaluating copying of factual elements (dates, names, events) compared to creative elements (original phrasing, metaphors) in substantial similarity analysis.</w:t>
      </w:r>
    </w:p>
    <w:p>
      <w:pPr>
        <w:numPr>
          <w:ilvl w:val="1"/>
          <w:numId w:val="34"/>
        </w:numPr>
        <w:rPr>
          <w:b w:val="0"/>
          <w:i w:val="0"/>
          <w:strike w:val="0"/>
        </w:rPr>
      </w:pPr>
      <w:r>
        <w:rPr>
          <w:rFonts w:ascii="Arial" w:eastAsia="Times New Roman" w:hAnsi="Arial" w:cs="Arial"/>
          <w:b w:val="0"/>
          <w:i w:val="0"/>
          <w:strike w:val="0"/>
          <w:color w:val="1D1D1D"/>
        </w:rPr>
        <w:t>Courts apply different standards: factual elements (dates, names, events) receive no protection and cannot support infringement claims. Creative elements (original phrasing, metaphors) receive protection if minimally creative. Historical phrases like "one if by land, two if by sea" would be unprotectable as historical facts/interpretations in public domain.</w:t>
      </w:r>
    </w:p>
    <w:p>
      <w:pPr>
        <w:numPr>
          <w:ilvl w:val="0"/>
          <w:numId w:val="34"/>
        </w:numPr>
        <w:rPr>
          <w:b w:val="0"/>
          <w:i w:val="0"/>
          <w:strike w:val="0"/>
        </w:rPr>
      </w:pPr>
      <w:r>
        <w:rPr>
          <w:rFonts w:ascii="Arial" w:eastAsia="Times New Roman" w:hAnsi="Arial" w:cs="Arial"/>
          <w:b w:val="0"/>
          <w:i w:val="0"/>
          <w:strike w:val="0"/>
          <w:color w:val="1D1D1D"/>
        </w:rPr>
        <w:t>Investigating Second Circuit application of the Feist v. Rural Telephone doctrine and its impact on substantiality analysis when factual content is allegedly copied versus creative expression.</w:t>
      </w:r>
    </w:p>
    <w:p>
      <w:pPr>
        <w:numPr>
          <w:ilvl w:val="1"/>
          <w:numId w:val="34"/>
        </w:numPr>
        <w:rPr>
          <w:b w:val="0"/>
          <w:i w:val="0"/>
          <w:strike w:val="0"/>
        </w:rPr>
      </w:pPr>
      <w:r>
        <w:rPr>
          <w:rFonts w:ascii="Arial" w:eastAsia="Times New Roman" w:hAnsi="Arial" w:cs="Arial"/>
          <w:b w:val="0"/>
          <w:i w:val="0"/>
          <w:strike w:val="0"/>
          <w:color w:val="1D1D1D"/>
        </w:rPr>
        <w:t>Feist doctrine establishes fact-expression dichotomy as core principle in substantiality analysis. Only original selection/arrangement of facts receives "thin" protection. Educational context provides more latitude for fair use but doesn't change underlying copyrightability analysis - facts remain unprotectable regardless of educational purpose.</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50"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type of work are you analyzing for potential copyright infringement (literary work, educational material, historical account, news article, etc.)?</w:t>
      </w:r>
    </w:p>
    <w:p>
      <w:pPr>
        <w:numPr>
          <w:ilvl w:val="0"/>
          <w:numId w:val="33"/>
        </w:numPr>
        <w:rPr>
          <w:b w:val="0"/>
          <w:i w:val="0"/>
          <w:strike w:val="0"/>
        </w:rPr>
      </w:pPr>
      <w:r>
        <w:rPr>
          <w:rFonts w:ascii="Arial" w:hAnsi="Arial" w:cs="Arial"/>
          <w:b/>
          <w:i w:val="0"/>
          <w:strike w:val="0"/>
          <w:color w:val="1D1D1D"/>
        </w:rPr>
        <w:t>Are you concerned about copying specific creative elements like original phrasing and metaphors, or primarily factual content like dates, names, and events?</w:t>
      </w:r>
    </w:p>
    <w:p>
      <w:pPr>
        <w:numPr>
          <w:ilvl w:val="0"/>
          <w:numId w:val="33"/>
        </w:numPr>
        <w:rPr>
          <w:b w:val="0"/>
          <w:i w:val="0"/>
          <w:strike w:val="0"/>
        </w:rPr>
      </w:pPr>
      <w:r>
        <w:rPr>
          <w:rFonts w:ascii="Arial" w:hAnsi="Arial" w:cs="Arial"/>
          <w:b/>
          <w:i w:val="0"/>
          <w:strike w:val="0"/>
          <w:color w:val="1D1D1D"/>
        </w:rPr>
        <w:t>When you refer to "educational context," are you asking about fair use defense for copying or about the copyrightability of educational materials themselves?</w:t>
      </w:r>
    </w:p>
    <w:p>
      <w:pPr>
        <w:numPr>
          <w:ilvl w:val="0"/>
          <w:numId w:val="33"/>
        </w:numPr>
        <w:rPr>
          <w:b w:val="0"/>
          <w:i w:val="0"/>
          <w:strike w:val="0"/>
        </w:rPr>
      </w:pPr>
      <w:r>
        <w:rPr>
          <w:rFonts w:ascii="Arial" w:hAnsi="Arial" w:cs="Arial"/>
          <w:b/>
          <w:i w:val="0"/>
          <w:strike w:val="0"/>
          <w:color w:val="1D1D1D"/>
        </w:rPr>
        <w:t>Is the allegedly copied material from a published work with registered copyright, or from sources that might be in the public domain?</w:t>
      </w:r>
    </w:p>
    <w:p>
      <w:pPr>
        <w:numPr>
          <w:ilvl w:val="0"/>
          <w:numId w:val="33"/>
        </w:numPr>
        <w:rPr>
          <w:b w:val="0"/>
          <w:i w:val="0"/>
          <w:strike w:val="0"/>
        </w:rPr>
      </w:pPr>
      <w:r>
        <w:rPr>
          <w:rFonts w:ascii="Arial" w:hAnsi="Arial" w:cs="Arial"/>
          <w:b/>
          <w:i w:val="0"/>
          <w:strike w:val="0"/>
          <w:color w:val="1D1D1D"/>
        </w:rPr>
        <w:t>Are you dealing with a compilation or arrangement of facts, or with copying from narrative works that contain both factual and creative elements?</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4"/>
      <w:footerReference w:type="even" r:id="rId25"/>
      <w:footerReference w:type="default" r:id="rId26"/>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14</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4, 2026</w:t>
    </w:r>
    <w:r w:rsidRPr="00CA3A86" w:rsidR="00266D65">
      <w:rPr>
        <w:rFonts w:ascii="Arial" w:hAnsi="Arial" w:cs="Arial"/>
        <w:sz w:val="18"/>
        <w:szCs w:val="18"/>
      </w:rPr>
      <w:t xml:space="preserve"> at </w:t>
    </w:r>
    <w:r>
      <w:rPr>
        <w:rFonts w:ascii="Arial" w:hAnsi="Arial" w:cs="Arial"/>
        <w:b w:val="0"/>
        <w:i w:val="0"/>
        <w:strike w:val="0"/>
        <w:sz w:val="18"/>
      </w:rPr>
      <w:t>12:35 a.m.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29d03151556811d997e0acd5cbb90d3f/View/FullText.html?transitionType=AIGuidedResearch&amp;contextData=%28sc.Default%29&amp;list=All&amp;listSource=WebsiteInternal&amp;conversationId=dab4f258-12a0-4f08-a5e9-c1fd633b7362" TargetMode="External" /><Relationship Id="rId11" Type="http://schemas.openxmlformats.org/officeDocument/2006/relationships/hyperlink" Target="https://1.next.westlaw.com/Link/RelatedInformation/Flag?docGuid=I90527c82e51711e3b4bafa136b480ad2&amp;ppcid=i0a89acec0000019c2617e6e898f71d0f&amp;transitionType=AIGuidedResearch&amp;contextData=%28sc.Default%29&amp;conversationId=dab4f258-12a0-4f08-a5e9-c1fd633b7362" TargetMode="External" /><Relationship Id="rId12" Type="http://schemas.openxmlformats.org/officeDocument/2006/relationships/hyperlink" Target="https://1.next.westlaw.com/Document/I90527c82e51711e3b4bafa136b480ad2/View/FullText.html?transitionType=AIGuidedResearch&amp;contextData=%28sc.Default%29&amp;list=All&amp;listSource=WebsiteInternal&amp;conversationId=dab4f258-12a0-4f08-a5e9-c1fd633b7362" TargetMode="External" /><Relationship Id="rId13" Type="http://schemas.openxmlformats.org/officeDocument/2006/relationships/hyperlink" Target="https://1.next.westlaw.com/Link/RelatedInformation/Flag?docGuid=I7a71ca3c92c011e2a160cacff148223f&amp;ppcid=i0a89acec0000019c2617e6e898f71d0f&amp;transitionType=AIGuidedResearch&amp;contextData=%28sc.Default%29&amp;conversationId=dab4f258-12a0-4f08-a5e9-c1fd633b7362" TargetMode="External" /><Relationship Id="rId14" Type="http://schemas.openxmlformats.org/officeDocument/2006/relationships/hyperlink" Target="https://1.next.westlaw.com/Document/I7a71ca3c92c011e2a160cacff148223f/View/FullText.html?transitionType=AIGuidedResearch&amp;contextData=%28sc.Default%29&amp;list=All&amp;listSource=WebsiteInternal&amp;conversationId=dab4f258-12a0-4f08-a5e9-c1fd633b7362" TargetMode="External" /><Relationship Id="rId15" Type="http://schemas.openxmlformats.org/officeDocument/2006/relationships/hyperlink" Target="https://1.next.westlaw.com/Link/RelatedInformation/Flag?docGuid=Ibb154b91397111e4a795ac035416da91&amp;ppcid=i0a89acec0000019c2617e6e898f71d0f&amp;transitionType=AIGuidedResearch&amp;contextData=%28sc.Default%29&amp;conversationId=dab4f258-12a0-4f08-a5e9-c1fd633b7362" TargetMode="External" /><Relationship Id="rId16" Type="http://schemas.openxmlformats.org/officeDocument/2006/relationships/hyperlink" Target="https://1.next.westlaw.com/Document/Ibb154b91397111e4a795ac035416da91/View/FullText.html?transitionType=AIGuidedResearch&amp;contextData=%28sc.Default%29&amp;list=All&amp;listSource=WebsiteInternal&amp;conversationId=dab4f258-12a0-4f08-a5e9-c1fd633b7362" TargetMode="External" /><Relationship Id="rId17" Type="http://schemas.openxmlformats.org/officeDocument/2006/relationships/hyperlink" Target="https://1.next.westlaw.com/Link/RelatedInformation/Flag?docGuid=I8d950409947811d9bdd1cfdd544ca3a4&amp;ppcid=i0a89acec0000019c2617e6e898f71d0f&amp;transitionType=AIGuidedResearch&amp;contextData=%28sc.Default%29&amp;conversationId=dab4f258-12a0-4f08-a5e9-c1fd633b7362" TargetMode="External" /><Relationship Id="rId18" Type="http://schemas.openxmlformats.org/officeDocument/2006/relationships/hyperlink" Target="https://1.next.westlaw.com/Document/I8d950409947811d9bdd1cfdd544ca3a4/View/FullText.html?transitionType=AIGuidedResearch&amp;contextData=%28sc.Default%29&amp;list=All&amp;listSource=WebsiteInternal&amp;conversationId=dab4f258-12a0-4f08-a5e9-c1fd633b7362" TargetMode="External" /><Relationship Id="rId19" Type="http://schemas.openxmlformats.org/officeDocument/2006/relationships/hyperlink" Target="https://1.next.westlaw.com/Document/Ib800c972ae5511e4a5ffb59432692b35/View/FullText.html?transitionType=AIGuidedResearch&amp;contextData=%28sc.Default%29&amp;list=All&amp;listSource=WebsiteInternal&amp;conversationId=dab4f258-12a0-4f08-a5e9-c1fd633b7362" TargetMode="External" /><Relationship Id="rId2" Type="http://schemas.openxmlformats.org/officeDocument/2006/relationships/webSettings" Target="webSettings.xml" /><Relationship Id="rId20" Type="http://schemas.openxmlformats.org/officeDocument/2006/relationships/hyperlink" Target="https://1.next.westlaw.com/Document/Ia89f00eabb8211efab738a6aac51d8f4/View/FullText.html?transitionType=AIGuidedResearch&amp;contextData=%28sc.Default%29&amp;list=All&amp;listSource=WebsiteInternal&amp;conversationId=dab4f258-12a0-4f08-a5e9-c1fd633b7362" TargetMode="External" /><Relationship Id="rId21" Type="http://schemas.openxmlformats.org/officeDocument/2006/relationships/hyperlink" Target="https://1.next.westlaw.com/Document/I2929e508642311e38578f7ccc38dcbee/View/FullText.html?transitionType=AIGuidedResearch&amp;contextData=%28sc.Default%29&amp;list=All&amp;listSource=WebsiteInternal&amp;conversationId=dab4f258-12a0-4f08-a5e9-c1fd633b7362" TargetMode="External" /><Relationship Id="rId22" Type="http://schemas.openxmlformats.org/officeDocument/2006/relationships/hyperlink" Target="https://1.next.westlaw.com/Document/I7c5360087a2011e8a5b3e3d9e23d7429/View/FullText.html?transitionType=AIGuidedResearch&amp;contextData=%28sc.Default%29&amp;list=All&amp;listSource=WebsiteInternal&amp;conversationId=dab4f258-12a0-4f08-a5e9-c1fd633b7362" TargetMode="External" /><Relationship Id="rId23" Type="http://schemas.openxmlformats.org/officeDocument/2006/relationships/hyperlink" Target="https://1.next.westlaw.com/Document/I6638858cc7fe11e8a5b3e3d9e23d7429/View/FullText.html?transitionType=AIGuidedResearch&amp;contextData=%28sc.Default%29&amp;list=All&amp;listSource=WebsiteInternal&amp;conversationId=dab4f258-12a0-4f08-a5e9-c1fd633b7362" TargetMode="External" /><Relationship Id="rId24" Type="http://schemas.openxmlformats.org/officeDocument/2006/relationships/header" Target="header1.xml"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Link/RelatedInformation/Flag?docGuid=I5df39b1a9c9011d9bc61beebb95be672&amp;ppcid=i0a89acec0000019c2617e6e898f71d0f&amp;transitionType=AIGuidedResearch&amp;contextData=%28sc.Default%29&amp;conversationId=dab4f258-12a0-4f08-a5e9-c1fd633b7362"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5df39b1a9c9011d9bc61beebb95be672/View/FullText.html?transitionType=AIGuidedResearch&amp;contextData=%28sc.Default%29&amp;list=All&amp;listSource=WebsiteInternal&amp;conversationId=dab4f258-12a0-4f08-a5e9-c1fd633b7362" TargetMode="External" /><Relationship Id="rId7" Type="http://schemas.openxmlformats.org/officeDocument/2006/relationships/hyperlink" Target="https://1.next.westlaw.com/Document/I8ba0884045aa11e7b69fcb5ae0fb9a47/View/FullText.html?transitionType=AIGuidedResearch&amp;contextData=%28sc.Default%29&amp;list=All&amp;listSource=WebsiteInternal&amp;conversationId=dab4f258-12a0-4f08-a5e9-c1fd633b7362" TargetMode="External" /><Relationship Id="rId8" Type="http://schemas.openxmlformats.org/officeDocument/2006/relationships/hyperlink" Target="https://1.next.westlaw.com/Document/I4a0e1f5c2ed111e590d4edf60ce7d742/View/FullText.html?transitionType=AIGuidedResearch&amp;contextData=%28sc.Default%29&amp;list=All&amp;listSource=WebsiteInternal&amp;conversationId=dab4f258-12a0-4f08-a5e9-c1fd633b7362" TargetMode="External" /><Relationship Id="rId9" Type="http://schemas.openxmlformats.org/officeDocument/2006/relationships/hyperlink" Target="https://1.next.westlaw.com/Link/RelatedInformation/Flag?docGuid=I29d03151556811d997e0acd5cbb90d3f&amp;ppcid=i0a89acec0000019c2617e6e898f71d0f&amp;transitionType=AIGuidedResearch&amp;contextData=%28sc.Default%29&amp;conversationId=dab4f258-12a0-4f08-a5e9-c1fd633b73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14</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