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Times New Roman" w:cs="Times New Roman" w:eastAsia="Times New Roman" w:hAnsi="Times New Roman"/>
          <w:b w:val="1"/>
          <w:bCs w:val="1"/>
          <w:sz w:val="30"/>
          <w:szCs w:val="30"/>
        </w:rPr>
      </w:pPr>
      <w:bookmarkStart w:colFirst="0" w:colLast="0" w:name="_fjdkq2nnor3c" w:id="0"/>
      <w:bookmarkEnd w:id="0"/>
      <w:r w:rsidDel="00000000" w:rsidR="00000000" w:rsidRPr="00000000">
        <w:rPr>
          <w:rFonts w:ascii="Times New Roman" w:cs="Times New Roman" w:eastAsia="Times New Roman" w:hAnsi="Times New Roman"/>
          <w:b w:val="1"/>
          <w:bCs w:val="1"/>
          <w:sz w:val="30"/>
          <w:szCs w:val="30"/>
          <w:rtl w:val="0"/>
        </w:rPr>
        <w:t xml:space="preserve">Moot Court Brief Outline</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Riven v. EchoCraft Productions</w:t>
      </w:r>
      <w:r w:rsidDel="00000000" w:rsidR="00000000" w:rsidRPr="00000000">
        <w:rPr>
          <w:rtl w:val="0"/>
        </w:rPr>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States Court of Appeals for the Second Circuit</w:t>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pz4ygcjh582h" w:id="1"/>
      <w:bookmarkEnd w:id="1"/>
      <w:r w:rsidDel="00000000" w:rsidR="00000000" w:rsidRPr="00000000">
        <w:rPr>
          <w:rFonts w:ascii="Times New Roman" w:cs="Times New Roman" w:eastAsia="Times New Roman" w:hAnsi="Times New Roman"/>
          <w:b w:val="1"/>
          <w:bCs w:val="1"/>
          <w:sz w:val="28"/>
          <w:szCs w:val="28"/>
          <w:rtl w:val="0"/>
        </w:rPr>
        <w:t xml:space="preserve">I. Heading</w:t>
      </w:r>
    </w:p>
    <w:p w:rsidR="00000000" w:rsidDel="00000000" w:rsidP="00000000" w:rsidRDefault="00000000" w:rsidRPr="00000000" w14:paraId="00000006">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Professor Grace Vee</w:t>
      </w:r>
    </w:p>
    <w:p w:rsidR="00000000" w:rsidDel="00000000" w:rsidP="00000000" w:rsidRDefault="00000000" w:rsidRPr="00000000" w14:paraId="00000007">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Moshe Klein and Neelam Sandhu</w:t>
      </w:r>
    </w:p>
    <w:p w:rsidR="00000000" w:rsidDel="00000000" w:rsidP="00000000" w:rsidRDefault="00000000" w:rsidRPr="00000000" w14:paraId="00000008">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February 4, 2026</w:t>
      </w:r>
    </w:p>
    <w:p w:rsidR="00000000" w:rsidDel="00000000" w:rsidP="00000000" w:rsidRDefault="00000000" w:rsidRPr="00000000" w14:paraId="00000009">
      <w:pPr>
        <w:spacing w:after="0" w:before="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Riven v. EchoCraft Productions</w:t>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1p7r9kv33hp5" w:id="2"/>
      <w:bookmarkEnd w:id="2"/>
      <w:r w:rsidDel="00000000" w:rsidR="00000000" w:rsidRPr="00000000">
        <w:rPr>
          <w:rFonts w:ascii="Times New Roman" w:cs="Times New Roman" w:eastAsia="Times New Roman" w:hAnsi="Times New Roman"/>
          <w:b w:val="1"/>
          <w:bCs w:val="1"/>
          <w:sz w:val="28"/>
          <w:szCs w:val="28"/>
          <w:rtl w:val="0"/>
        </w:rPr>
        <w:t xml:space="preserve">II. Question(s) Presented</w:t>
      </w:r>
    </w:p>
    <w:p w:rsidR="00000000" w:rsidDel="00000000" w:rsidP="00000000" w:rsidRDefault="00000000" w:rsidRPr="00000000" w14:paraId="0000000C">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district court correctly granted summary judgment to EchoCraft on Riven’s Title VII retaliation claim where Riven failed to establish that he engaged in protected activity or that any alleged protected activity was causally connected to his termination.</w:t>
      </w:r>
    </w:p>
    <w:p w:rsidR="00000000" w:rsidDel="00000000" w:rsidP="00000000" w:rsidRDefault="00000000" w:rsidRPr="00000000" w14:paraId="0000000D">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district court correctly concluded that EchoCraft’s song “Revere Paul Revere?” constitutes fair use under 17 U.S.C. § 107 as a matter of law.</w:t>
        <w:br w:type="textWrapping"/>
      </w:r>
    </w:p>
    <w:p w:rsidR="00000000" w:rsidDel="00000000" w:rsidP="00000000" w:rsidRDefault="00000000" w:rsidRPr="00000000" w14:paraId="0000000E">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kcjxr35m601r" w:id="3"/>
      <w:bookmarkEnd w:id="3"/>
      <w:r w:rsidDel="00000000" w:rsidR="00000000" w:rsidRPr="00000000">
        <w:rPr>
          <w:rFonts w:ascii="Times New Roman" w:cs="Times New Roman" w:eastAsia="Times New Roman" w:hAnsi="Times New Roman"/>
          <w:b w:val="1"/>
          <w:bCs w:val="1"/>
          <w:sz w:val="28"/>
          <w:szCs w:val="28"/>
          <w:rtl w:val="0"/>
        </w:rPr>
        <w:t xml:space="preserve">III. Brief Answers</w:t>
      </w:r>
    </w:p>
    <w:p w:rsidR="00000000" w:rsidDel="00000000" w:rsidP="00000000" w:rsidRDefault="00000000" w:rsidRPr="00000000" w14:paraId="0000000F">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Riven failed to satisfy the prima facie requirements of a Title VII retaliation claim because his internal inquiry did not constitute protected activity opposing unlawful discrimination, EchoCraft lacked notice that he was opposing a Title VII violation, and the record forecloses any reasonable inference of causation.</w:t>
      </w:r>
      <w:r w:rsidDel="00000000" w:rsidR="00000000" w:rsidRPr="00000000">
        <w:rPr>
          <w:rtl w:val="0"/>
        </w:rPr>
      </w:r>
    </w:p>
    <w:p w:rsidR="00000000" w:rsidDel="00000000" w:rsidP="00000000" w:rsidRDefault="00000000" w:rsidRPr="00000000" w14:paraId="00000010">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EchoCraft’s song is a paradigmatic example of fair use: it is transformative, uses limited material from a factual educational work, and causes no cognizable market harm. No reasonable jury could find copyright infringement.</w:t>
        <w:br w:type="textWrapping"/>
      </w:r>
    </w:p>
    <w:p w:rsidR="00000000" w:rsidDel="00000000" w:rsidP="00000000" w:rsidRDefault="00000000" w:rsidRPr="00000000" w14:paraId="00000011">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ocxsbsjnl554" w:id="4"/>
      <w:bookmarkEnd w:id="4"/>
      <w:r w:rsidDel="00000000" w:rsidR="00000000" w:rsidRPr="00000000">
        <w:rPr>
          <w:rFonts w:ascii="Times New Roman" w:cs="Times New Roman" w:eastAsia="Times New Roman" w:hAnsi="Times New Roman"/>
          <w:b w:val="1"/>
          <w:bCs w:val="1"/>
          <w:sz w:val="28"/>
          <w:szCs w:val="28"/>
          <w:rtl w:val="0"/>
        </w:rPr>
        <w:t xml:space="preserve">IV. Statement of Facts (Viewed in the Light Most Favorable to Riven)</w:t>
      </w:r>
    </w:p>
    <w:p w:rsidR="00000000" w:rsidDel="00000000" w:rsidP="00000000" w:rsidRDefault="00000000" w:rsidRPr="00000000" w14:paraId="00000012">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EchoCraft employed Riven from 2018 to 2023; he was promoted to manager in 2020 and received positive reviews until 2023  .</w:t>
      </w:r>
    </w:p>
    <w:p w:rsidR="00000000" w:rsidDel="00000000" w:rsidP="00000000" w:rsidRDefault="00000000" w:rsidRPr="00000000" w14:paraId="00000013">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December 2022, employees informally speculated about bonus discrepancies across departments. Riven later undertook a self-initiated inquiry into bonuses without being directed to do so.</w:t>
      </w:r>
    </w:p>
    <w:p w:rsidR="00000000" w:rsidDel="00000000" w:rsidP="00000000" w:rsidRDefault="00000000" w:rsidRPr="00000000" w14:paraId="00000014">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never filed a complaint with HR, the EEOC, or any governmental body, nor did he explicitly accuse EchoCraft of unlawful gender discrimination during his inquiry.</w:t>
      </w:r>
    </w:p>
    <w:p w:rsidR="00000000" w:rsidDel="00000000" w:rsidP="00000000" w:rsidRDefault="00000000" w:rsidRPr="00000000" w14:paraId="00000015">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2023, Riven’s department failed to meet songwriting quotas for six consecutive months, triggering a formal warning in July 2023 and termination in December 2023.</w:t>
      </w:r>
    </w:p>
    <w:p w:rsidR="00000000" w:rsidDel="00000000" w:rsidP="00000000" w:rsidRDefault="00000000" w:rsidRPr="00000000" w14:paraId="00000016">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Riven authored “Revere Paul Revere,” an educational song for his daughter. EchoCraft later released “Revere Paul Revere?” through its nonprofit educational arm.</w:t>
      </w:r>
    </w:p>
    <w:p w:rsidR="00000000" w:rsidDel="00000000" w:rsidP="00000000" w:rsidRDefault="00000000" w:rsidRPr="00000000" w14:paraId="00000017">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court granted summary judgment for EchoCraft on both claims.</w:t>
        <w:br w:type="textWrapping"/>
      </w:r>
    </w:p>
    <w:p w:rsidR="00000000" w:rsidDel="00000000" w:rsidP="00000000" w:rsidRDefault="00000000" w:rsidRPr="00000000" w14:paraId="00000018">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x2p06hz9oth8" w:id="5"/>
      <w:bookmarkEnd w:id="5"/>
      <w:r w:rsidDel="00000000" w:rsidR="00000000" w:rsidRPr="00000000">
        <w:rPr>
          <w:rFonts w:ascii="Times New Roman" w:cs="Times New Roman" w:eastAsia="Times New Roman" w:hAnsi="Times New Roman"/>
          <w:b w:val="1"/>
          <w:bCs w:val="1"/>
          <w:sz w:val="28"/>
          <w:szCs w:val="28"/>
          <w:rtl w:val="0"/>
        </w:rPr>
        <w:t xml:space="preserve">V. Discussion</w:t>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240" w:lineRule="auto"/>
        <w:rPr>
          <w:rFonts w:ascii="Times New Roman" w:cs="Times New Roman" w:eastAsia="Times New Roman" w:hAnsi="Times New Roman"/>
          <w:b w:val="1"/>
          <w:bCs w:val="1"/>
          <w:color w:val="000000"/>
          <w:sz w:val="24"/>
          <w:szCs w:val="24"/>
        </w:rPr>
      </w:pPr>
      <w:bookmarkStart w:colFirst="0" w:colLast="0" w:name="_8xdt427yanjp" w:id="6"/>
      <w:bookmarkEnd w:id="6"/>
      <w:r w:rsidDel="00000000" w:rsidR="00000000" w:rsidRPr="00000000">
        <w:rPr>
          <w:rFonts w:ascii="Times New Roman" w:cs="Times New Roman" w:eastAsia="Times New Roman" w:hAnsi="Times New Roman"/>
          <w:b w:val="1"/>
          <w:bCs w:val="1"/>
          <w:color w:val="000000"/>
          <w:sz w:val="24"/>
          <w:szCs w:val="24"/>
          <w:rtl w:val="0"/>
        </w:rPr>
        <w:t xml:space="preserve">ISSUE #1:</w:t>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Failed to Establish a Prima Facie Case of Retaliation Under Title VII</w:t>
      </w:r>
    </w:p>
    <w:p w:rsidR="00000000" w:rsidDel="00000000" w:rsidP="00000000" w:rsidRDefault="00000000" w:rsidRPr="00000000" w14:paraId="0000001C">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4lhguz94jbis" w:id="7"/>
      <w:bookmarkEnd w:id="7"/>
      <w:r w:rsidDel="00000000" w:rsidR="00000000" w:rsidRPr="00000000">
        <w:rPr>
          <w:rFonts w:ascii="Times New Roman" w:cs="Times New Roman" w:eastAsia="Times New Roman" w:hAnsi="Times New Roman"/>
          <w:b w:val="1"/>
          <w:bCs w:val="1"/>
          <w:color w:val="000000"/>
          <w:rtl w:val="0"/>
        </w:rPr>
        <w:t xml:space="preserve">A. Governing Rule</w:t>
      </w:r>
    </w:p>
    <w:p w:rsidR="00000000" w:rsidDel="00000000" w:rsidP="00000000" w:rsidRDefault="00000000" w:rsidRPr="00000000" w14:paraId="0000001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a prima facie retaliation claim under Title VII, a plaintiff must show:</w:t>
      </w:r>
    </w:p>
    <w:p w:rsidR="00000000" w:rsidDel="00000000" w:rsidP="00000000" w:rsidRDefault="00000000" w:rsidRPr="00000000" w14:paraId="0000001E">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in protected activity;</w:t>
      </w:r>
    </w:p>
    <w:p w:rsidR="00000000" w:rsidDel="00000000" w:rsidP="00000000" w:rsidRDefault="00000000" w:rsidRPr="00000000" w14:paraId="0000001F">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Employer awareness of that activity;</w:t>
      </w:r>
    </w:p>
    <w:p w:rsidR="00000000" w:rsidDel="00000000" w:rsidP="00000000" w:rsidRDefault="00000000" w:rsidRPr="00000000" w14:paraId="00000020">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adverse employment action; and</w:t>
      </w:r>
    </w:p>
    <w:p w:rsidR="00000000" w:rsidDel="00000000" w:rsidP="00000000" w:rsidRDefault="00000000" w:rsidRPr="00000000" w14:paraId="00000021">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causal connection between the protected activity and the adverse action.</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stipulations, only elements (1), (2), and (4) are at issue.</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Littlejohn v. City of New York</w:t>
      </w:r>
      <w:r w:rsidDel="00000000" w:rsidR="00000000" w:rsidRPr="00000000">
        <w:rPr>
          <w:rFonts w:ascii="Times New Roman" w:cs="Times New Roman" w:eastAsia="Times New Roman" w:hAnsi="Times New Roman"/>
          <w:sz w:val="24"/>
          <w:szCs w:val="24"/>
          <w:rtl w:val="0"/>
        </w:rPr>
        <w:t xml:space="preserve">, 795 F.3d 297, 315–16 (2d Cir. 2015); </w:t>
      </w:r>
      <w:r w:rsidDel="00000000" w:rsidR="00000000" w:rsidRPr="00000000">
        <w:rPr>
          <w:rFonts w:ascii="Times New Roman" w:cs="Times New Roman" w:eastAsia="Times New Roman" w:hAnsi="Times New Roman"/>
          <w:i w:val="1"/>
          <w:iCs w:val="1"/>
          <w:sz w:val="24"/>
          <w:szCs w:val="24"/>
          <w:rtl w:val="0"/>
        </w:rPr>
        <w:t xml:space="preserve">McDonnell Douglas Corp. v. Green</w:t>
      </w:r>
      <w:r w:rsidDel="00000000" w:rsidR="00000000" w:rsidRPr="00000000">
        <w:rPr>
          <w:rFonts w:ascii="Times New Roman" w:cs="Times New Roman" w:eastAsia="Times New Roman" w:hAnsi="Times New Roman"/>
          <w:sz w:val="24"/>
          <w:szCs w:val="24"/>
          <w:rtl w:val="0"/>
        </w:rPr>
        <w:t xml:space="preserve">, 411 U.S. 792 (1973).</w:t>
      </w:r>
    </w:p>
    <w:p w:rsidR="00000000" w:rsidDel="00000000" w:rsidP="00000000" w:rsidRDefault="00000000" w:rsidRPr="00000000" w14:paraId="0000002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fee9c5pm1dt2" w:id="8"/>
      <w:bookmarkEnd w:id="8"/>
      <w:r w:rsidDel="00000000" w:rsidR="00000000" w:rsidRPr="00000000">
        <w:rPr>
          <w:rFonts w:ascii="Times New Roman" w:cs="Times New Roman" w:eastAsia="Times New Roman" w:hAnsi="Times New Roman"/>
          <w:b w:val="1"/>
          <w:bCs w:val="1"/>
          <w:color w:val="000000"/>
          <w:rtl w:val="0"/>
        </w:rPr>
        <w:t xml:space="preserve">B. Riven Did Not Engage in Protected Activity</w:t>
      </w:r>
    </w:p>
    <w:p w:rsidR="00000000" w:rsidDel="00000000" w:rsidP="00000000" w:rsidRDefault="00000000" w:rsidRPr="00000000" w14:paraId="0000002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Protected activity requires opposition to an employment practice made unlawful by Title VII, not merely generalized workplace concerns.</w:t>
      </w:r>
    </w:p>
    <w:p w:rsidR="00000000" w:rsidDel="00000000" w:rsidP="00000000" w:rsidRDefault="00000000" w:rsidRPr="00000000" w14:paraId="00000028">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Manoharan v. Columbia Univ.</w:t>
      </w:r>
      <w:r w:rsidDel="00000000" w:rsidR="00000000" w:rsidRPr="00000000">
        <w:rPr>
          <w:rFonts w:ascii="Times New Roman" w:cs="Times New Roman" w:eastAsia="Times New Roman" w:hAnsi="Times New Roman"/>
          <w:sz w:val="24"/>
          <w:szCs w:val="24"/>
          <w:rtl w:val="0"/>
        </w:rPr>
        <w:t xml:space="preserve">, 842 F.2d 590 (2d Cir. 1988), the Second Circuit held that internal complaints must clearly convey opposition to unlawful discrimination, not vague dissatisfaction.</w:t>
      </w:r>
    </w:p>
    <w:p w:rsidR="00000000" w:rsidDel="00000000" w:rsidP="00000000" w:rsidRDefault="00000000" w:rsidRPr="00000000" w14:paraId="00000029">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in </w:t>
      </w:r>
      <w:r w:rsidDel="00000000" w:rsidR="00000000" w:rsidRPr="00000000">
        <w:rPr>
          <w:rFonts w:ascii="Times New Roman" w:cs="Times New Roman" w:eastAsia="Times New Roman" w:hAnsi="Times New Roman"/>
          <w:i w:val="1"/>
          <w:iCs w:val="1"/>
          <w:sz w:val="24"/>
          <w:szCs w:val="24"/>
          <w:rtl w:val="0"/>
        </w:rPr>
        <w:t xml:space="preserve">Galdieri-Ambrosini v. Nat’l Realty &amp; Dev. Corp.,</w:t>
      </w:r>
      <w:r w:rsidDel="00000000" w:rsidR="00000000" w:rsidRPr="00000000">
        <w:rPr>
          <w:rFonts w:ascii="Times New Roman" w:cs="Times New Roman" w:eastAsia="Times New Roman" w:hAnsi="Times New Roman"/>
          <w:sz w:val="24"/>
          <w:szCs w:val="24"/>
          <w:rtl w:val="0"/>
        </w:rPr>
        <w:t xml:space="preserve"> 136 F.3d 276 (2d Cir. 1998), it was confirmed that an employee’s conduct must reasonably be understood as protesting discrimination prohibited by Title VII.</w:t>
      </w:r>
    </w:p>
    <w:p w:rsidR="00000000" w:rsidDel="00000000" w:rsidP="00000000" w:rsidRDefault="00000000" w:rsidRPr="00000000" w14:paraId="0000002A">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02B">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inquiry focused on bonus discrepancies across departments and never crystallized into opposition to gender discrimination explicitly. His own supervisor testified that the concern appeared “departmental,” not gender-based. General data-gathering and internal curiosity do not constitute protected activity.</w:t>
      </w:r>
    </w:p>
    <w:p w:rsidR="00000000" w:rsidDel="00000000" w:rsidP="00000000" w:rsidRDefault="00000000" w:rsidRPr="00000000" w14:paraId="0000002C">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kxang8q03789" w:id="9"/>
      <w:bookmarkEnd w:id="9"/>
      <w:r w:rsidDel="00000000" w:rsidR="00000000" w:rsidRPr="00000000">
        <w:rPr>
          <w:rFonts w:ascii="Times New Roman" w:cs="Times New Roman" w:eastAsia="Times New Roman" w:hAnsi="Times New Roman"/>
          <w:b w:val="1"/>
          <w:bCs w:val="1"/>
          <w:color w:val="000000"/>
          <w:rtl w:val="0"/>
        </w:rPr>
        <w:t xml:space="preserve">C. EchoCraft Lacked Notice of Any Protected Activity</w:t>
      </w:r>
    </w:p>
    <w:p w:rsidR="00000000" w:rsidDel="00000000" w:rsidP="00000000" w:rsidRDefault="00000000" w:rsidRPr="00000000" w14:paraId="0000002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if Riven subjectively believed he was investigating discrimination, Title VII requires employer awareness.</w:t>
      </w:r>
    </w:p>
    <w:p w:rsidR="00000000" w:rsidDel="00000000" w:rsidP="00000000" w:rsidRDefault="00000000" w:rsidRPr="00000000" w14:paraId="0000002F">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Kelly v. Howard I. Shapiro &amp; Assocs. Consulting Eng’rs,</w:t>
      </w:r>
      <w:r w:rsidDel="00000000" w:rsidR="00000000" w:rsidRPr="00000000">
        <w:rPr>
          <w:rFonts w:ascii="Times New Roman" w:cs="Times New Roman" w:eastAsia="Times New Roman" w:hAnsi="Times New Roman"/>
          <w:sz w:val="24"/>
          <w:szCs w:val="24"/>
          <w:rtl w:val="0"/>
        </w:rPr>
        <w:t xml:space="preserve"> 716 F.3d 10 (2d Cir. 2013), the court rejected a retaliation claim where the employer lacked notice that the employee was opposing unlawful conduct.</w:t>
      </w:r>
    </w:p>
    <w:p w:rsidR="00000000" w:rsidDel="00000000" w:rsidP="00000000" w:rsidRDefault="00000000" w:rsidRPr="00000000" w14:paraId="00000030">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031">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 shows that EchoCraft understood Riven’s conduct as an internal audit of bonus practices, not a complaint about gender discrimination. Without notice, retaliation liability cannot attach.</w:t>
      </w:r>
    </w:p>
    <w:p w:rsidR="00000000" w:rsidDel="00000000" w:rsidP="00000000" w:rsidRDefault="00000000" w:rsidRPr="00000000" w14:paraId="0000003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4"/>
        <w:keepNext w:val="0"/>
        <w:keepLines w:val="0"/>
        <w:spacing w:after="0" w:before="0" w:line="240" w:lineRule="auto"/>
        <w:rPr>
          <w:rFonts w:ascii="Times New Roman" w:cs="Times New Roman" w:eastAsia="Times New Roman" w:hAnsi="Times New Roman"/>
          <w:b w:val="1"/>
          <w:bCs w:val="1"/>
          <w:color w:val="000000"/>
        </w:rPr>
      </w:pPr>
      <w:bookmarkStart w:colFirst="0" w:colLast="0" w:name="_arvjk5p29h87" w:id="10"/>
      <w:bookmarkEnd w:id="10"/>
      <w:r w:rsidDel="00000000" w:rsidR="00000000" w:rsidRPr="00000000">
        <w:rPr>
          <w:rFonts w:ascii="Times New Roman" w:cs="Times New Roman" w:eastAsia="Times New Roman" w:hAnsi="Times New Roman"/>
          <w:b w:val="1"/>
          <w:bCs w:val="1"/>
          <w:color w:val="000000"/>
          <w:rtl w:val="0"/>
        </w:rPr>
        <w:t xml:space="preserve">D. No Reasonable Jury Could Find Causation</w:t>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proximity alone is insufficient where there is an intervening, well-documented non-retaliatory basis for termination.</w:t>
      </w:r>
    </w:p>
    <w:p w:rsidR="00000000" w:rsidDel="00000000" w:rsidP="00000000" w:rsidRDefault="00000000" w:rsidRPr="00000000" w14:paraId="00000035">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Slattery v. Swiss Reinsurance Am. Corp.,</w:t>
      </w:r>
      <w:r w:rsidDel="00000000" w:rsidR="00000000" w:rsidRPr="00000000">
        <w:rPr>
          <w:rFonts w:ascii="Times New Roman" w:cs="Times New Roman" w:eastAsia="Times New Roman" w:hAnsi="Times New Roman"/>
          <w:sz w:val="24"/>
          <w:szCs w:val="24"/>
          <w:rtl w:val="0"/>
        </w:rPr>
        <w:t xml:space="preserve"> 248 F.3d 87 (2d Cir. 2001), holds that where adverse action follows progressive discipline, causation is negated.</w:t>
      </w:r>
    </w:p>
    <w:p w:rsidR="00000000" w:rsidDel="00000000" w:rsidP="00000000" w:rsidRDefault="00000000" w:rsidRPr="00000000" w14:paraId="00000036">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 received a formal warning months before termination due to documented performance failures.</w:t>
      </w:r>
    </w:p>
    <w:p w:rsidR="00000000" w:rsidDel="00000000" w:rsidP="00000000" w:rsidRDefault="00000000" w:rsidRPr="00000000" w14:paraId="00000037">
      <w:pPr>
        <w:numPr>
          <w:ilvl w:val="0"/>
          <w:numId w:val="7"/>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p w:rsidR="00000000" w:rsidDel="00000000" w:rsidP="00000000" w:rsidRDefault="00000000" w:rsidRPr="00000000" w14:paraId="00000038">
      <w:pPr>
        <w:numPr>
          <w:ilvl w:val="1"/>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Riven’s termination followed sustained underperformance, independent of any alleged protected activity. No reasonable inference of retaliatory motive exists.</w:t>
      </w:r>
    </w:p>
    <w:p w:rsidR="00000000" w:rsidDel="00000000" w:rsidP="00000000" w:rsidRDefault="00000000" w:rsidRPr="00000000" w14:paraId="00000039">
      <w:pPr>
        <w:spacing w:after="0" w:before="0"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44lj8rg9q71a" w:id="11"/>
      <w:bookmarkEnd w:id="11"/>
      <w:r w:rsidDel="00000000" w:rsidR="00000000" w:rsidRPr="00000000">
        <w:rPr>
          <w:rFonts w:ascii="Times New Roman" w:cs="Times New Roman" w:eastAsia="Times New Roman" w:hAnsi="Times New Roman"/>
          <w:b w:val="1"/>
          <w:bCs w:val="1"/>
          <w:color w:val="000000"/>
          <w:sz w:val="24"/>
          <w:szCs w:val="24"/>
          <w:rtl w:val="0"/>
        </w:rPr>
        <w:t xml:space="preserve">ISSUE TWO: </w:t>
      </w:r>
      <w:r w:rsidDel="00000000" w:rsidR="00000000" w:rsidRPr="00000000">
        <w:rPr>
          <w:rFonts w:ascii="Times New Roman" w:cs="Times New Roman" w:eastAsia="Times New Roman" w:hAnsi="Times New Roman"/>
          <w:sz w:val="24"/>
          <w:szCs w:val="24"/>
          <w:rtl w:val="0"/>
        </w:rPr>
        <w:t xml:space="preserve">EchoCraft’s Song Constitutes Fair Use as a Matter of Law</w:t>
      </w:r>
    </w:p>
    <w:p w:rsidR="00000000" w:rsidDel="00000000" w:rsidP="00000000" w:rsidRDefault="00000000" w:rsidRPr="00000000" w14:paraId="0000003B">
      <w:pPr>
        <w:pStyle w:val="Heading2"/>
        <w:keepNext w:val="0"/>
        <w:keepLines w:val="0"/>
        <w:spacing w:after="0" w:before="200" w:line="240" w:lineRule="auto"/>
        <w:rPr>
          <w:rFonts w:ascii="Times New Roman" w:cs="Times New Roman" w:eastAsia="Times New Roman" w:hAnsi="Times New Roman"/>
          <w:b w:val="1"/>
          <w:bCs w:val="1"/>
          <w:sz w:val="28"/>
          <w:szCs w:val="28"/>
        </w:rPr>
      </w:pPr>
      <w:bookmarkStart w:colFirst="0" w:colLast="0" w:name="_jk5siuaacyp9" w:id="12"/>
      <w:bookmarkEnd w:id="12"/>
      <w:r w:rsidDel="00000000" w:rsidR="00000000" w:rsidRPr="00000000">
        <w:rPr>
          <w:rFonts w:ascii="Times New Roman" w:cs="Times New Roman" w:eastAsia="Times New Roman" w:hAnsi="Times New Roman"/>
          <w:b w:val="1"/>
          <w:bCs w:val="1"/>
          <w:sz w:val="28"/>
          <w:szCs w:val="28"/>
          <w:rtl w:val="0"/>
        </w:rPr>
        <w:t xml:space="preserve">A. Governing Rule</w:t>
      </w:r>
    </w:p>
    <w:p w:rsidR="00000000" w:rsidDel="00000000" w:rsidP="00000000" w:rsidRDefault="00000000" w:rsidRPr="00000000" w14:paraId="0000003C">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Fair use requires case-by-case analysis of four statutory factors:</w:t>
      </w:r>
    </w:p>
    <w:p w:rsidR="00000000" w:rsidDel="00000000" w:rsidP="00000000" w:rsidRDefault="00000000" w:rsidRPr="00000000" w14:paraId="0000003D">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 (1)</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rtl w:val="0"/>
        </w:rPr>
        <w:t xml:space="preserve">The purpose and character of the use, including whether commercial or nonprofit educational</w:t>
      </w:r>
    </w:p>
    <w:p w:rsidR="00000000" w:rsidDel="00000000" w:rsidP="00000000" w:rsidRDefault="00000000" w:rsidRPr="00000000" w14:paraId="0000003E">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 (2)</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rtl w:val="0"/>
        </w:rPr>
        <w:t xml:space="preserve">The nature of the copyrighted work</w:t>
      </w:r>
    </w:p>
    <w:p w:rsidR="00000000" w:rsidDel="00000000" w:rsidP="00000000" w:rsidRDefault="00000000" w:rsidRPr="00000000" w14:paraId="0000003F">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 (3)</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rtl w:val="0"/>
        </w:rPr>
        <w:t xml:space="preserve">The amount and substantiality of the portion used in relation to the whole</w:t>
      </w:r>
    </w:p>
    <w:p w:rsidR="00000000" w:rsidDel="00000000" w:rsidP="00000000" w:rsidRDefault="00000000" w:rsidRPr="00000000" w14:paraId="00000040">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 (4)</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color w:val="000000"/>
          <w:rtl w:val="0"/>
        </w:rPr>
        <w:t xml:space="preserve">The effect of the use on the potential market for or value of the copyrighted work</w:t>
      </w:r>
    </w:p>
    <w:p w:rsidR="00000000" w:rsidDel="00000000" w:rsidP="00000000" w:rsidRDefault="00000000" w:rsidRPr="00000000" w14:paraId="00000041">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Courts must explore all four factors together and weigh them holistically; no single factor is dispositive.</w:t>
      </w:r>
    </w:p>
    <w:p w:rsidR="00000000" w:rsidDel="00000000" w:rsidP="00000000" w:rsidRDefault="00000000" w:rsidRPr="00000000" w14:paraId="00000042">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 v. Acuff-Rose Music, Inc.</w:t>
      </w:r>
      <w:r w:rsidDel="00000000" w:rsidR="00000000" w:rsidRPr="00000000">
        <w:rPr>
          <w:rFonts w:ascii="Times New Roman" w:cs="Times New Roman" w:eastAsia="Times New Roman" w:hAnsi="Times New Roman"/>
          <w:color w:val="000000"/>
          <w:rtl w:val="0"/>
        </w:rPr>
        <w:t xml:space="preserve">, 510 U.S. 569, 577-78 (1994); 17 U.S.C. § 107.</w:t>
      </w:r>
    </w:p>
    <w:p w:rsidR="00000000" w:rsidDel="00000000" w:rsidP="00000000" w:rsidRDefault="00000000" w:rsidRPr="00000000" w14:paraId="00000043">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Fair use may be decided on summary judgment when:</w:t>
      </w:r>
    </w:p>
    <w:p w:rsidR="00000000" w:rsidDel="00000000" w:rsidP="00000000" w:rsidRDefault="00000000" w:rsidRPr="00000000" w14:paraId="00000044">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Material facts are undisputed</w:t>
      </w:r>
    </w:p>
    <w:p w:rsidR="00000000" w:rsidDel="00000000" w:rsidP="00000000" w:rsidRDefault="00000000" w:rsidRPr="00000000" w14:paraId="00000045">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question is whether those facts establish fair use as a matter of law</w:t>
      </w:r>
    </w:p>
    <w:p w:rsidR="00000000" w:rsidDel="00000000" w:rsidP="00000000" w:rsidRDefault="00000000" w:rsidRPr="00000000" w14:paraId="00000046">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inquiry focuses on objective characteristics a reasonable observer would perceive, not subjective intent</w:t>
      </w:r>
    </w:p>
    <w:p w:rsidR="00000000" w:rsidDel="00000000" w:rsidP="00000000" w:rsidRDefault="00000000" w:rsidRPr="00000000" w14:paraId="00000047">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Santos v. Kimmel</w:t>
      </w:r>
      <w:r w:rsidDel="00000000" w:rsidR="00000000" w:rsidRPr="00000000">
        <w:rPr>
          <w:rFonts w:ascii="Times New Roman" w:cs="Times New Roman" w:eastAsia="Times New Roman" w:hAnsi="Times New Roman"/>
          <w:color w:val="000000"/>
          <w:rtl w:val="0"/>
        </w:rPr>
        <w:t xml:space="preserve">, 154 F.4th 30, 34 (2d Cir. 2025); </w:t>
      </w:r>
      <w:r w:rsidDel="00000000" w:rsidR="00000000" w:rsidRPr="00000000">
        <w:rPr>
          <w:rFonts w:ascii="Times New Roman" w:cs="Times New Roman" w:eastAsia="Times New Roman" w:hAnsi="Times New Roman"/>
          <w:i w:val="1"/>
          <w:iCs w:val="1"/>
          <w:color w:val="000000"/>
          <w:rtl w:val="0"/>
        </w:rPr>
        <w:t xml:space="preserve">Andy Warhol Found. for Visual Arts, Inc. v. Goldsmith</w:t>
      </w:r>
      <w:r w:rsidDel="00000000" w:rsidR="00000000" w:rsidRPr="00000000">
        <w:rPr>
          <w:rFonts w:ascii="Times New Roman" w:cs="Times New Roman" w:eastAsia="Times New Roman" w:hAnsi="Times New Roman"/>
          <w:color w:val="000000"/>
          <w:rtl w:val="0"/>
        </w:rPr>
        <w:t xml:space="preserve">, 598 U.S. 508, 544 (2023).</w:t>
      </w:r>
    </w:p>
    <w:p w:rsidR="00000000" w:rsidDel="00000000" w:rsidP="00000000" w:rsidRDefault="00000000" w:rsidRPr="00000000" w14:paraId="00000048">
      <w:pPr>
        <w:pStyle w:val="Heading2"/>
        <w:keepNext w:val="0"/>
        <w:keepLines w:val="0"/>
        <w:spacing w:after="0" w:before="200" w:line="240" w:lineRule="auto"/>
        <w:rPr>
          <w:rFonts w:ascii="Times New Roman" w:cs="Times New Roman" w:eastAsia="Times New Roman" w:hAnsi="Times New Roman"/>
          <w:b w:val="1"/>
          <w:bCs w:val="1"/>
          <w:sz w:val="28"/>
          <w:szCs w:val="28"/>
        </w:rPr>
      </w:pPr>
      <w:bookmarkStart w:colFirst="0" w:colLast="0" w:name="_ef3qol685ywt" w:id="14"/>
      <w:bookmarkEnd w:id="14"/>
      <w:r w:rsidDel="00000000" w:rsidR="00000000" w:rsidRPr="00000000">
        <w:rPr>
          <w:rFonts w:ascii="Times New Roman" w:cs="Times New Roman" w:eastAsia="Times New Roman" w:hAnsi="Times New Roman"/>
          <w:b w:val="1"/>
          <w:bCs w:val="1"/>
          <w:sz w:val="28"/>
          <w:szCs w:val="28"/>
          <w:rtl w:val="0"/>
        </w:rPr>
        <w:t xml:space="preserve">B. Factor One Favors EchoCraft: The Song Is Transformative Parody</w:t>
      </w:r>
    </w:p>
    <w:p w:rsidR="00000000" w:rsidDel="00000000" w:rsidP="00000000" w:rsidRDefault="00000000" w:rsidRPr="00000000" w14:paraId="00000049">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The central question under Factor One:</w:t>
      </w:r>
    </w:p>
    <w:p w:rsidR="00000000" w:rsidDel="00000000" w:rsidP="00000000" w:rsidRDefault="00000000" w:rsidRPr="00000000" w14:paraId="0000004A">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Whether the new work adds something new with a further purpose or different character, or merely supersedes the original</w:t>
      </w:r>
    </w:p>
    <w:p w:rsidR="00000000" w:rsidDel="00000000" w:rsidP="00000000" w:rsidRDefault="00000000" w:rsidRPr="00000000" w14:paraId="0000004B">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more transformative the new work, the less significance other factors (like commercialism) carry against fair use</w:t>
      </w:r>
    </w:p>
    <w:p w:rsidR="00000000" w:rsidDel="00000000" w:rsidP="00000000" w:rsidRDefault="00000000" w:rsidRPr="00000000" w14:paraId="0000004C">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Courts examine the specific challenged use in the marketplace through objective inquiry into what a reasonable observer would perceive</w:t>
      </w:r>
    </w:p>
    <w:p w:rsidR="00000000" w:rsidDel="00000000" w:rsidP="00000000" w:rsidRDefault="00000000" w:rsidRPr="00000000" w14:paraId="0000004D">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579; </w:t>
      </w:r>
      <w:r w:rsidDel="00000000" w:rsidR="00000000" w:rsidRPr="00000000">
        <w:rPr>
          <w:rFonts w:ascii="Times New Roman" w:cs="Times New Roman" w:eastAsia="Times New Roman" w:hAnsi="Times New Roman"/>
          <w:i w:val="1"/>
          <w:iCs w:val="1"/>
          <w:color w:val="000000"/>
          <w:rtl w:val="0"/>
        </w:rPr>
        <w:t xml:space="preserve">Andy Warhol</w:t>
      </w:r>
      <w:r w:rsidDel="00000000" w:rsidR="00000000" w:rsidRPr="00000000">
        <w:rPr>
          <w:rFonts w:ascii="Times New Roman" w:cs="Times New Roman" w:eastAsia="Times New Roman" w:hAnsi="Times New Roman"/>
          <w:color w:val="000000"/>
          <w:rtl w:val="0"/>
        </w:rPr>
        <w:t xml:space="preserve">, 598 U.S. at 526, 545.</w:t>
      </w:r>
    </w:p>
    <w:p w:rsidR="00000000" w:rsidDel="00000000" w:rsidP="00000000" w:rsidRDefault="00000000" w:rsidRPr="00000000" w14:paraId="0000004E">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Parody has a stronger fair use claim than satire:</w:t>
      </w:r>
    </w:p>
    <w:p w:rsidR="00000000" w:rsidDel="00000000" w:rsidP="00000000" w:rsidRDefault="00000000" w:rsidRPr="00000000" w14:paraId="0000004F">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Parody = commentary on the original work itself</w:t>
      </w:r>
    </w:p>
    <w:p w:rsidR="00000000" w:rsidDel="00000000" w:rsidP="00000000" w:rsidRDefault="00000000" w:rsidRPr="00000000" w14:paraId="00000050">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Satire = commentary on society using the original</w:t>
      </w:r>
    </w:p>
    <w:p w:rsidR="00000000" w:rsidDel="00000000" w:rsidP="00000000" w:rsidRDefault="00000000" w:rsidRPr="00000000" w14:paraId="00000051">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Parody requires conjuring up the original to make its critical point</w:t>
      </w:r>
    </w:p>
    <w:p w:rsidR="00000000" w:rsidDel="00000000" w:rsidP="00000000" w:rsidRDefault="00000000" w:rsidRPr="00000000" w14:paraId="00000052">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parody must target the original, not just its general style, genre, or society as a whole</w:t>
      </w:r>
    </w:p>
    <w:p w:rsidR="00000000" w:rsidDel="00000000" w:rsidP="00000000" w:rsidRDefault="00000000" w:rsidRPr="00000000" w14:paraId="00000053">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secondary work’s commentary must have </w:t>
      </w:r>
      <w:r w:rsidDel="00000000" w:rsidR="00000000" w:rsidRPr="00000000">
        <w:rPr>
          <w:rFonts w:ascii="Times New Roman" w:cs="Times New Roman" w:eastAsia="Times New Roman" w:hAnsi="Times New Roman"/>
          <w:b w:val="1"/>
          <w:bCs w:val="1"/>
          <w:color w:val="000000"/>
          <w:rtl w:val="0"/>
        </w:rPr>
        <w:t xml:space="preserve">critical bearing</w:t>
      </w:r>
      <w:r w:rsidDel="00000000" w:rsidR="00000000" w:rsidRPr="00000000">
        <w:rPr>
          <w:rFonts w:ascii="Times New Roman" w:cs="Times New Roman" w:eastAsia="Times New Roman" w:hAnsi="Times New Roman"/>
          <w:color w:val="000000"/>
          <w:rtl w:val="0"/>
        </w:rPr>
        <w:t xml:space="preserve"> on the original work itself</w:t>
      </w:r>
    </w:p>
    <w:p w:rsidR="00000000" w:rsidDel="00000000" w:rsidP="00000000" w:rsidRDefault="00000000" w:rsidRPr="00000000" w14:paraId="00000054">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580-81; </w:t>
      </w:r>
      <w:r w:rsidDel="00000000" w:rsidR="00000000" w:rsidRPr="00000000">
        <w:rPr>
          <w:rFonts w:ascii="Times New Roman" w:cs="Times New Roman" w:eastAsia="Times New Roman" w:hAnsi="Times New Roman"/>
          <w:i w:val="1"/>
          <w:iCs w:val="1"/>
          <w:color w:val="000000"/>
          <w:rtl w:val="0"/>
        </w:rPr>
        <w:t xml:space="preserve">id.</w:t>
      </w:r>
      <w:r w:rsidDel="00000000" w:rsidR="00000000" w:rsidRPr="00000000">
        <w:rPr>
          <w:rFonts w:ascii="Times New Roman" w:cs="Times New Roman" w:eastAsia="Times New Roman" w:hAnsi="Times New Roman"/>
          <w:color w:val="000000"/>
          <w:rtl w:val="0"/>
        </w:rPr>
        <w:t xml:space="preserve"> at 597 (Kennedy, J., concurring); </w:t>
      </w:r>
      <w:r w:rsidDel="00000000" w:rsidR="00000000" w:rsidRPr="00000000">
        <w:rPr>
          <w:rFonts w:ascii="Times New Roman" w:cs="Times New Roman" w:eastAsia="Times New Roman" w:hAnsi="Times New Roman"/>
          <w:i w:val="1"/>
          <w:iCs w:val="1"/>
          <w:color w:val="000000"/>
          <w:rtl w:val="0"/>
        </w:rPr>
        <w:t xml:space="preserve">Andy Warhol</w:t>
      </w:r>
      <w:r w:rsidDel="00000000" w:rsidR="00000000" w:rsidRPr="00000000">
        <w:rPr>
          <w:rFonts w:ascii="Times New Roman" w:cs="Times New Roman" w:eastAsia="Times New Roman" w:hAnsi="Times New Roman"/>
          <w:color w:val="000000"/>
          <w:rtl w:val="0"/>
        </w:rPr>
        <w:t xml:space="preserve">, 598 U.S. at 546-47 (quoting </w:t>
      </w:r>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55">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Nonprofit educational purpose weighs in favor of fair use:</w:t>
      </w:r>
    </w:p>
    <w:p w:rsidR="00000000" w:rsidDel="00000000" w:rsidP="00000000" w:rsidRDefault="00000000" w:rsidRPr="00000000" w14:paraId="00000056">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Commercial nature tends against fair use but is not dispositive</w:t>
      </w:r>
    </w:p>
    <w:p w:rsidR="00000000" w:rsidDel="00000000" w:rsidP="00000000" w:rsidRDefault="00000000" w:rsidRPr="00000000" w14:paraId="00000057">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Statutory language explicitly distinguishes commercial from nonprofit educational uses</w:t>
      </w:r>
    </w:p>
    <w:p w:rsidR="00000000" w:rsidDel="00000000" w:rsidP="00000000" w:rsidRDefault="00000000" w:rsidRPr="00000000" w14:paraId="00000058">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584.</w:t>
      </w:r>
    </w:p>
    <w:p w:rsidR="00000000" w:rsidDel="00000000" w:rsidP="00000000" w:rsidRDefault="00000000" w:rsidRPr="00000000" w14:paraId="00000059">
      <w:pPr>
        <w:pStyle w:val="Heading3"/>
        <w:keepNext w:val="0"/>
        <w:keepLines w:val="0"/>
        <w:spacing w:after="0" w:before="200" w:line="240" w:lineRule="auto"/>
        <w:rPr>
          <w:rFonts w:ascii="Times New Roman" w:cs="Times New Roman" w:eastAsia="Times New Roman" w:hAnsi="Times New Roman"/>
          <w:b w:val="1"/>
          <w:bCs w:val="1"/>
          <w:color w:val="000000"/>
          <w:sz w:val="24"/>
          <w:szCs w:val="24"/>
        </w:rPr>
      </w:pPr>
      <w:bookmarkStart w:colFirst="0" w:colLast="0" w:name="_yavyueoqox9e" w:id="15"/>
      <w:bookmarkEnd w:id="15"/>
      <w:r w:rsidDel="00000000" w:rsidR="00000000" w:rsidRPr="00000000">
        <w:rPr>
          <w:rFonts w:ascii="Times New Roman" w:cs="Times New Roman" w:eastAsia="Times New Roman" w:hAnsi="Times New Roman"/>
          <w:b w:val="1"/>
          <w:bCs w:val="1"/>
          <w:color w:val="000000"/>
          <w:sz w:val="24"/>
          <w:szCs w:val="24"/>
          <w:rtl w:val="0"/>
        </w:rPr>
        <w:t xml:space="preserve">Application:</w:t>
      </w:r>
    </w:p>
    <w:p w:rsidR="00000000" w:rsidDel="00000000" w:rsidP="00000000" w:rsidRDefault="00000000" w:rsidRPr="00000000" w14:paraId="0000005A">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EchoCraft’s song constitutes parody with critical bearing on Riven’s work:</w:t>
      </w:r>
    </w:p>
    <w:p w:rsidR="00000000" w:rsidDel="00000000" w:rsidP="00000000" w:rsidRDefault="00000000" w:rsidRPr="00000000" w14:paraId="0000005B">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Riven’s song presents a “hero-worship” perspective on Paul Revere</w:t>
      </w:r>
    </w:p>
    <w:p w:rsidR="00000000" w:rsidDel="00000000" w:rsidP="00000000" w:rsidRDefault="00000000" w:rsidRPr="00000000" w14:paraId="0000005C">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EchoCraft targets and mocks that specific adulatory perspective by correcting historical inaccuracies</w:t>
      </w:r>
    </w:p>
    <w:p w:rsidR="00000000" w:rsidDel="00000000" w:rsidP="00000000" w:rsidRDefault="00000000" w:rsidRPr="00000000" w14:paraId="0000005D">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 question mark in the title signals ironic commentary of the original’s claims</w:t>
      </w:r>
    </w:p>
    <w:p w:rsidR="00000000" w:rsidDel="00000000" w:rsidP="00000000" w:rsidRDefault="00000000" w:rsidRPr="00000000" w14:paraId="0000005E">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EchoCraft uses Riven’s melody to “conjure up” his version, then undermines its narrative with corrected facts</w:t>
      </w:r>
    </w:p>
    <w:p w:rsidR="00000000" w:rsidDel="00000000" w:rsidP="00000000" w:rsidRDefault="00000000" w:rsidRPr="00000000" w14:paraId="0000005F">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Reasonable observer would perceive distinct purposes:</w:t>
      </w:r>
    </w:p>
    <w:p w:rsidR="00000000" w:rsidDel="00000000" w:rsidP="00000000" w:rsidRDefault="00000000" w:rsidRPr="00000000" w14:paraId="00000060">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Riven’s version: celebratory, simplistic narrative for entertainment</w:t>
      </w:r>
    </w:p>
    <w:p w:rsidR="00000000" w:rsidDel="00000000" w:rsidP="00000000" w:rsidRDefault="00000000" w:rsidRPr="00000000" w14:paraId="00000061">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EchoCraft’s version: ironic critique and factual correction to expose inadequacies</w:t>
      </w:r>
    </w:p>
    <w:p w:rsidR="00000000" w:rsidDel="00000000" w:rsidP="00000000" w:rsidRDefault="00000000" w:rsidRPr="00000000" w14:paraId="00000062">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Functionally different: uncritical hero-worship vs. corrective commentary</w:t>
      </w:r>
    </w:p>
    <w:p w:rsidR="00000000" w:rsidDel="00000000" w:rsidP="00000000" w:rsidRDefault="00000000" w:rsidRPr="00000000" w14:paraId="00000063">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EchoCraft’s nonprofit educational purpose:</w:t>
      </w:r>
    </w:p>
    <w:p w:rsidR="00000000" w:rsidDel="00000000" w:rsidP="00000000" w:rsidRDefault="00000000" w:rsidRPr="00000000" w14:paraId="00000064">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Operates as nonprofit educational entity</w:t>
      </w:r>
    </w:p>
    <w:p w:rsidR="00000000" w:rsidDel="00000000" w:rsidP="00000000" w:rsidRDefault="00000000" w:rsidRPr="00000000" w14:paraId="00000065">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Licenses work below cost</w:t>
      </w:r>
    </w:p>
    <w:p w:rsidR="00000000" w:rsidDel="00000000" w:rsidP="00000000" w:rsidRDefault="00000000" w:rsidRPr="00000000" w14:paraId="00000066">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Distributes exclusively for educational purposes</w:t>
      </w:r>
    </w:p>
    <w:p w:rsidR="00000000" w:rsidDel="00000000" w:rsidP="00000000" w:rsidRDefault="00000000" w:rsidRPr="00000000" w14:paraId="00000067">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Combines with transformative critical nature to strongly favor fair use</w:t>
      </w:r>
    </w:p>
    <w:p w:rsidR="00000000" w:rsidDel="00000000" w:rsidP="00000000" w:rsidRDefault="00000000" w:rsidRPr="00000000" w14:paraId="00000068">
      <w:pPr>
        <w:pStyle w:val="Heading2"/>
        <w:keepNext w:val="0"/>
        <w:keepLines w:val="0"/>
        <w:spacing w:after="0" w:before="200" w:line="240" w:lineRule="auto"/>
        <w:rPr>
          <w:rFonts w:ascii="Times New Roman" w:cs="Times New Roman" w:eastAsia="Times New Roman" w:hAnsi="Times New Roman"/>
          <w:b w:val="1"/>
          <w:bCs w:val="1"/>
          <w:sz w:val="28"/>
          <w:szCs w:val="28"/>
        </w:rPr>
      </w:pPr>
      <w:bookmarkStart w:colFirst="0" w:colLast="0" w:name="_t6zcodsytuh6" w:id="16"/>
      <w:bookmarkEnd w:id="16"/>
      <w:r w:rsidDel="00000000" w:rsidR="00000000" w:rsidRPr="00000000">
        <w:rPr>
          <w:rFonts w:ascii="Times New Roman" w:cs="Times New Roman" w:eastAsia="Times New Roman" w:hAnsi="Times New Roman"/>
          <w:b w:val="1"/>
          <w:bCs w:val="1"/>
          <w:sz w:val="28"/>
          <w:szCs w:val="28"/>
          <w:rtl w:val="0"/>
        </w:rPr>
        <w:t xml:space="preserve">C. Factor Two Is Neutral or Favors EchoCraft: The Original Work Is Educational and Factual</w:t>
      </w:r>
    </w:p>
    <w:p w:rsidR="00000000" w:rsidDel="00000000" w:rsidP="00000000" w:rsidRDefault="00000000" w:rsidRPr="00000000" w14:paraId="00000069">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Nature of copyrighted work considers:</w:t>
      </w:r>
    </w:p>
    <w:p w:rsidR="00000000" w:rsidDel="00000000" w:rsidP="00000000" w:rsidRDefault="00000000" w:rsidRPr="00000000" w14:paraId="0000006A">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Whether work is creative or factual</w:t>
      </w:r>
    </w:p>
    <w:p w:rsidR="00000000" w:rsidDel="00000000" w:rsidP="00000000" w:rsidRDefault="00000000" w:rsidRPr="00000000" w14:paraId="0000006B">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p04tkuk7n1ty" w:id="17"/>
      <w:bookmarkEnd w:id="17"/>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Creative works receive greater protection than factual compilations</w:t>
      </w:r>
    </w:p>
    <w:p w:rsidR="00000000" w:rsidDel="00000000" w:rsidP="00000000" w:rsidRDefault="00000000" w:rsidRPr="00000000" w14:paraId="0000006C">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This factor has limited weight when copying work is clearly transformative parody</w:t>
      </w:r>
    </w:p>
    <w:p w:rsidR="00000000" w:rsidDel="00000000" w:rsidP="00000000" w:rsidRDefault="00000000" w:rsidRPr="00000000" w14:paraId="0000006D">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Educational works presenting historical facts occupy middle ground with less robust protection</w:t>
      </w:r>
    </w:p>
    <w:p w:rsidR="00000000" w:rsidDel="00000000" w:rsidP="00000000" w:rsidRDefault="00000000" w:rsidRPr="00000000" w14:paraId="0000006E">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586; </w:t>
      </w:r>
      <w:r w:rsidDel="00000000" w:rsidR="00000000" w:rsidRPr="00000000">
        <w:rPr>
          <w:rFonts w:ascii="Times New Roman" w:cs="Times New Roman" w:eastAsia="Times New Roman" w:hAnsi="Times New Roman"/>
          <w:i w:val="1"/>
          <w:iCs w:val="1"/>
          <w:color w:val="000000"/>
          <w:rtl w:val="0"/>
        </w:rPr>
        <w:t xml:space="preserve">Feist Publications, Inc. v. Rural Tel. Serv. Co.</w:t>
      </w:r>
      <w:r w:rsidDel="00000000" w:rsidR="00000000" w:rsidRPr="00000000">
        <w:rPr>
          <w:rFonts w:ascii="Times New Roman" w:cs="Times New Roman" w:eastAsia="Times New Roman" w:hAnsi="Times New Roman"/>
          <w:color w:val="000000"/>
          <w:rtl w:val="0"/>
        </w:rPr>
        <w:t xml:space="preserve">, 499 U.S. 340, 348-49 (1991).</w:t>
      </w:r>
    </w:p>
    <w:p w:rsidR="00000000" w:rsidDel="00000000" w:rsidP="00000000" w:rsidRDefault="00000000" w:rsidRPr="00000000" w14:paraId="0000006F">
      <w:pPr>
        <w:pStyle w:val="Heading3"/>
        <w:keepNext w:val="0"/>
        <w:keepLines w:val="0"/>
        <w:spacing w:after="0" w:before="200" w:line="240" w:lineRule="auto"/>
        <w:rPr>
          <w:rFonts w:ascii="Times New Roman" w:cs="Times New Roman" w:eastAsia="Times New Roman" w:hAnsi="Times New Roman"/>
          <w:b w:val="1"/>
          <w:bCs w:val="1"/>
          <w:color w:val="000000"/>
          <w:sz w:val="24"/>
          <w:szCs w:val="24"/>
        </w:rPr>
      </w:pPr>
      <w:bookmarkStart w:colFirst="0" w:colLast="0" w:name="_j8m7nbagvhzg" w:id="18"/>
      <w:bookmarkEnd w:id="18"/>
      <w:r w:rsidDel="00000000" w:rsidR="00000000" w:rsidRPr="00000000">
        <w:rPr>
          <w:rFonts w:ascii="Times New Roman" w:cs="Times New Roman" w:eastAsia="Times New Roman" w:hAnsi="Times New Roman"/>
          <w:b w:val="1"/>
          <w:bCs w:val="1"/>
          <w:color w:val="000000"/>
          <w:sz w:val="24"/>
          <w:szCs w:val="24"/>
          <w:rtl w:val="0"/>
        </w:rPr>
        <w:t xml:space="preserve">Application:</w:t>
      </w:r>
    </w:p>
    <w:p w:rsidR="00000000" w:rsidDel="00000000" w:rsidP="00000000" w:rsidRDefault="00000000" w:rsidRPr="00000000" w14:paraId="00000070">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Riven’s song is fundamentally educational and factual:</w:t>
      </w:r>
    </w:p>
    <w:p w:rsidR="00000000" w:rsidDel="00000000" w:rsidP="00000000" w:rsidRDefault="00000000" w:rsidRPr="00000000" w14:paraId="00000071">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Designed to teach historical facts about Paul Revere</w:t>
      </w:r>
    </w:p>
    <w:p w:rsidR="00000000" w:rsidDel="00000000" w:rsidP="00000000" w:rsidRDefault="00000000" w:rsidRPr="00000000" w14:paraId="00000072">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Contains creative elements but core purpose is factual dissemination</w:t>
      </w:r>
    </w:p>
    <w:p w:rsidR="00000000" w:rsidDel="00000000" w:rsidP="00000000" w:rsidRDefault="00000000" w:rsidRPr="00000000" w14:paraId="00000073">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Diminishes strength of copyright protection relative to purely imaginative works</w:t>
      </w:r>
    </w:p>
    <w:p w:rsidR="00000000" w:rsidDel="00000000" w:rsidP="00000000" w:rsidRDefault="00000000" w:rsidRPr="00000000" w14:paraId="00000074">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Parody almost invariably copies publicly known, expressive works</w:t>
      </w:r>
    </w:p>
    <w:p w:rsidR="00000000" w:rsidDel="00000000" w:rsidP="00000000" w:rsidRDefault="00000000" w:rsidRPr="00000000" w14:paraId="00000075">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Factor Two adds little when Factor One demonstrates clear transformative purpose</w:t>
      </w:r>
    </w:p>
    <w:p w:rsidR="00000000" w:rsidDel="00000000" w:rsidP="00000000" w:rsidRDefault="00000000" w:rsidRPr="00000000" w14:paraId="00000076">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At most neutral; more likely slightly favors EchoCraft given educational and factual nature of underlying work.</w:t>
      </w:r>
    </w:p>
    <w:p w:rsidR="00000000" w:rsidDel="00000000" w:rsidP="00000000" w:rsidRDefault="00000000" w:rsidRPr="00000000" w14:paraId="00000077">
      <w:pPr>
        <w:pStyle w:val="Heading2"/>
        <w:keepNext w:val="0"/>
        <w:keepLines w:val="0"/>
        <w:spacing w:after="0" w:before="200" w:line="240" w:lineRule="auto"/>
        <w:rPr>
          <w:rFonts w:ascii="Times New Roman" w:cs="Times New Roman" w:eastAsia="Times New Roman" w:hAnsi="Times New Roman"/>
          <w:b w:val="1"/>
          <w:bCs w:val="1"/>
          <w:sz w:val="28"/>
          <w:szCs w:val="28"/>
        </w:rPr>
      </w:pPr>
      <w:bookmarkStart w:colFirst="0" w:colLast="0" w:name="_ha1wwogg0nkr" w:id="19"/>
      <w:bookmarkEnd w:id="19"/>
      <w:r w:rsidDel="00000000" w:rsidR="00000000" w:rsidRPr="00000000">
        <w:rPr>
          <w:rFonts w:ascii="Times New Roman" w:cs="Times New Roman" w:eastAsia="Times New Roman" w:hAnsi="Times New Roman"/>
          <w:b w:val="1"/>
          <w:bCs w:val="1"/>
          <w:sz w:val="28"/>
          <w:szCs w:val="28"/>
          <w:rtl w:val="0"/>
        </w:rPr>
        <w:t xml:space="preserve">D. Factor Three Favors EchoCraft: Copying the Original Song Was Necessary to Conjure Up the Original, and EchoCraft Departed Markedly in Lyrics</w:t>
      </w:r>
    </w:p>
    <w:p w:rsidR="00000000" w:rsidDel="00000000" w:rsidP="00000000" w:rsidRDefault="00000000" w:rsidRPr="00000000" w14:paraId="00000078">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Parody may copy the “heart” of the original:</w:t>
      </w:r>
    </w:p>
    <w:p w:rsidR="00000000" w:rsidDel="00000000" w:rsidP="00000000" w:rsidRDefault="00000000" w:rsidRPr="00000000" w14:paraId="00000079">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Necessary to “conjure up” the original for purposes of making recognizable criticism</w:t>
      </w:r>
    </w:p>
    <w:p w:rsidR="00000000" w:rsidDel="00000000" w:rsidP="00000000" w:rsidRDefault="00000000" w:rsidRPr="00000000" w14:paraId="0000007A">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Parody must evoke at least enough of original to make object of critical wit recognizable</w:t>
      </w:r>
    </w:p>
    <w:p w:rsidR="00000000" w:rsidDel="00000000" w:rsidP="00000000" w:rsidRDefault="00000000" w:rsidRPr="00000000" w14:paraId="0000007B">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Copying does not become excessive merely because portion taken was the original’s heart</w:t>
      </w:r>
    </w:p>
    <w:p w:rsidR="00000000" w:rsidDel="00000000" w:rsidP="00000000" w:rsidRDefault="00000000" w:rsidRPr="00000000" w14:paraId="0000007C">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w:t>
      </w:r>
      <w:r w:rsidDel="00000000" w:rsidR="00000000" w:rsidRPr="00000000">
        <w:rPr>
          <w:rFonts w:ascii="Times New Roman" w:cs="Times New Roman" w:eastAsia="Times New Roman" w:hAnsi="Times New Roman"/>
          <w:color w:val="000000"/>
          <w:rtl w:val="0"/>
        </w:rPr>
        <w:t xml:space="preserve">arodist must depart markedly from the original after establishing the connection</w:t>
      </w:r>
    </w:p>
    <w:p w:rsidR="00000000" w:rsidDel="00000000" w:rsidP="00000000" w:rsidRDefault="00000000" w:rsidRPr="00000000" w14:paraId="0000007D">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588-89.</w:t>
      </w:r>
    </w:p>
    <w:p w:rsidR="00000000" w:rsidDel="00000000" w:rsidP="00000000" w:rsidRDefault="00000000" w:rsidRPr="00000000" w14:paraId="0000007E">
      <w:pPr>
        <w:pStyle w:val="Heading3"/>
        <w:keepNext w:val="0"/>
        <w:keepLines w:val="0"/>
        <w:spacing w:after="0" w:before="200" w:line="240" w:lineRule="auto"/>
        <w:rPr>
          <w:rFonts w:ascii="Times New Roman" w:cs="Times New Roman" w:eastAsia="Times New Roman" w:hAnsi="Times New Roman"/>
          <w:color w:val="000000"/>
        </w:rPr>
      </w:pPr>
      <w:bookmarkStart w:colFirst="0" w:colLast="0" w:name="_ciud6zmvh96r" w:id="20"/>
      <w:bookmarkEnd w:id="20"/>
      <w:r w:rsidDel="00000000" w:rsidR="00000000" w:rsidRPr="00000000">
        <w:rPr>
          <w:rFonts w:ascii="Times New Roman" w:cs="Times New Roman" w:eastAsia="Times New Roman" w:hAnsi="Times New Roman"/>
          <w:b w:val="1"/>
          <w:bCs w:val="1"/>
          <w:color w:val="000000"/>
          <w:sz w:val="24"/>
          <w:szCs w:val="24"/>
          <w:rtl w:val="0"/>
        </w:rPr>
        <w:t xml:space="preserve">Application:</w:t>
      </w:r>
      <w:r w:rsidDel="00000000" w:rsidR="00000000" w:rsidRPr="00000000">
        <w:rPr>
          <w:rtl w:val="0"/>
        </w:rPr>
      </w:r>
    </w:p>
    <w:p w:rsidR="00000000" w:rsidDel="00000000" w:rsidP="00000000" w:rsidRDefault="00000000" w:rsidRPr="00000000" w14:paraId="0000007F">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EchoCraft noticeably departed in their lyrics:</w:t>
      </w:r>
      <w:r w:rsidDel="00000000" w:rsidR="00000000" w:rsidRPr="00000000">
        <w:rPr>
          <w:rtl w:val="0"/>
        </w:rPr>
      </w:r>
    </w:p>
    <w:p w:rsidR="00000000" w:rsidDel="00000000" w:rsidP="00000000" w:rsidRDefault="00000000" w:rsidRPr="00000000" w14:paraId="00000080">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Presents corrected historical facts that undermine Riven’s perspective</w:t>
      </w:r>
    </w:p>
    <w:p w:rsidR="00000000" w:rsidDel="00000000" w:rsidP="00000000" w:rsidRDefault="00000000" w:rsidRPr="00000000" w14:paraId="00000081">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EchoCraft took what necessary to establish parodic connection</w:t>
      </w:r>
    </w:p>
    <w:p w:rsidR="00000000" w:rsidDel="00000000" w:rsidP="00000000" w:rsidRDefault="00000000" w:rsidRPr="00000000" w14:paraId="00000082">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Then pursued its own critical ends</w:t>
      </w:r>
    </w:p>
    <w:p w:rsidR="00000000" w:rsidDel="00000000" w:rsidP="00000000" w:rsidRDefault="00000000" w:rsidRPr="00000000" w14:paraId="00000083">
      <w:pPr>
        <w:pStyle w:val="Heading2"/>
        <w:keepNext w:val="0"/>
        <w:keepLines w:val="0"/>
        <w:spacing w:after="0" w:before="200" w:line="240" w:lineRule="auto"/>
        <w:rPr>
          <w:rFonts w:ascii="Times New Roman" w:cs="Times New Roman" w:eastAsia="Times New Roman" w:hAnsi="Times New Roman"/>
          <w:b w:val="1"/>
          <w:bCs w:val="1"/>
          <w:sz w:val="28"/>
          <w:szCs w:val="28"/>
        </w:rPr>
      </w:pPr>
      <w:bookmarkStart w:colFirst="0" w:colLast="0" w:name="_ecrhhs4rwyqp" w:id="21"/>
      <w:bookmarkEnd w:id="21"/>
      <w:r w:rsidDel="00000000" w:rsidR="00000000" w:rsidRPr="00000000">
        <w:rPr>
          <w:rFonts w:ascii="Times New Roman" w:cs="Times New Roman" w:eastAsia="Times New Roman" w:hAnsi="Times New Roman"/>
          <w:b w:val="1"/>
          <w:bCs w:val="1"/>
          <w:sz w:val="28"/>
          <w:szCs w:val="28"/>
          <w:rtl w:val="0"/>
        </w:rPr>
        <w:t xml:space="preserve">E. Factor Four Favors EchoCraft: No Derivative Market Exists for Criticism, and Any Harm Is from Critical Suppression, Not Substitution</w:t>
      </w:r>
    </w:p>
    <w:p w:rsidR="00000000" w:rsidDel="00000000" w:rsidP="00000000" w:rsidRDefault="00000000" w:rsidRPr="00000000" w14:paraId="00000084">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Factor Four asks about market substitution, not critical damage:</w:t>
      </w:r>
    </w:p>
    <w:p w:rsidR="00000000" w:rsidDel="00000000" w:rsidP="00000000" w:rsidRDefault="00000000" w:rsidRPr="00000000" w14:paraId="00000085">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Whether secondary use usurps the market by serving as substitute</w:t>
      </w:r>
    </w:p>
    <w:p w:rsidR="00000000" w:rsidDel="00000000" w:rsidP="00000000" w:rsidRDefault="00000000" w:rsidRPr="00000000" w14:paraId="00000086">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Not whether it damages market through effective criticism or parody</w:t>
      </w:r>
    </w:p>
    <w:p w:rsidR="00000000" w:rsidDel="00000000" w:rsidP="00000000" w:rsidRDefault="00000000" w:rsidRPr="00000000" w14:paraId="00000087">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When parody suppresses demand through effective criticism, it does not produce harm cognizable under Copyright Act</w:t>
      </w:r>
    </w:p>
    <w:p w:rsidR="00000000" w:rsidDel="00000000" w:rsidP="00000000" w:rsidRDefault="00000000" w:rsidRPr="00000000" w14:paraId="00000088">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Santos</w:t>
      </w:r>
      <w:r w:rsidDel="00000000" w:rsidR="00000000" w:rsidRPr="00000000">
        <w:rPr>
          <w:rFonts w:ascii="Times New Roman" w:cs="Times New Roman" w:eastAsia="Times New Roman" w:hAnsi="Times New Roman"/>
          <w:color w:val="000000"/>
          <w:rtl w:val="0"/>
        </w:rPr>
        <w:t xml:space="preserve">, 154 F.4th at 35 (quoting </w:t>
      </w:r>
      <w:r w:rsidDel="00000000" w:rsidR="00000000" w:rsidRPr="00000000">
        <w:rPr>
          <w:rFonts w:ascii="Times New Roman" w:cs="Times New Roman" w:eastAsia="Times New Roman" w:hAnsi="Times New Roman"/>
          <w:i w:val="1"/>
          <w:iCs w:val="1"/>
          <w:color w:val="000000"/>
          <w:rtl w:val="0"/>
        </w:rPr>
        <w:t xml:space="preserve">Hachette Book Grp., Inc. v. Internet Archive</w:t>
      </w:r>
      <w:r w:rsidDel="00000000" w:rsidR="00000000" w:rsidRPr="00000000">
        <w:rPr>
          <w:rFonts w:ascii="Times New Roman" w:cs="Times New Roman" w:eastAsia="Times New Roman" w:hAnsi="Times New Roman"/>
          <w:color w:val="000000"/>
          <w:rtl w:val="0"/>
        </w:rPr>
        <w:t xml:space="preserve">, 115 F.4th 163, 189 (2d Cir. 2024)); </w:t>
      </w:r>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591-92 (quoting </w:t>
      </w:r>
      <w:r w:rsidDel="00000000" w:rsidR="00000000" w:rsidRPr="00000000">
        <w:rPr>
          <w:rFonts w:ascii="Times New Roman" w:cs="Times New Roman" w:eastAsia="Times New Roman" w:hAnsi="Times New Roman"/>
          <w:i w:val="1"/>
          <w:iCs w:val="1"/>
          <w:color w:val="000000"/>
          <w:rtl w:val="0"/>
        </w:rPr>
        <w:t xml:space="preserve">Fisher v. Dees</w:t>
      </w:r>
      <w:r w:rsidDel="00000000" w:rsidR="00000000" w:rsidRPr="00000000">
        <w:rPr>
          <w:rFonts w:ascii="Times New Roman" w:cs="Times New Roman" w:eastAsia="Times New Roman" w:hAnsi="Times New Roman"/>
          <w:color w:val="000000"/>
          <w:rtl w:val="0"/>
        </w:rPr>
        <w:t xml:space="preserve">, 794 F.2d 432, 438 (9th Cir. 1986)).</w:t>
      </w:r>
    </w:p>
    <w:p w:rsidR="00000000" w:rsidDel="00000000" w:rsidP="00000000" w:rsidRDefault="00000000" w:rsidRPr="00000000" w14:paraId="00000089">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No protectible derivative market for works that criticize the original:</w:t>
      </w:r>
    </w:p>
    <w:p w:rsidR="00000000" w:rsidDel="00000000" w:rsidP="00000000" w:rsidRDefault="00000000" w:rsidRPr="00000000" w14:paraId="0000008A">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Copyright holders would not license others to create critical reviews or lampoons of their own productions</w:t>
      </w:r>
    </w:p>
    <w:p w:rsidR="00000000" w:rsidDel="00000000" w:rsidP="00000000" w:rsidRDefault="00000000" w:rsidRPr="00000000" w14:paraId="0000008B">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This unlikelihood removes such uses from very notion of potential licensing market</w:t>
      </w:r>
    </w:p>
    <w:p w:rsidR="00000000" w:rsidDel="00000000" w:rsidP="00000000" w:rsidRDefault="00000000" w:rsidRPr="00000000" w14:paraId="0000008C">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i w:val="1"/>
          <w:iCs w:val="1"/>
          <w:color w:val="000000"/>
          <w:rtl w:val="0"/>
        </w:rPr>
        <w:t xml:space="preserve">Campbell</w:t>
      </w:r>
      <w:r w:rsidDel="00000000" w:rsidR="00000000" w:rsidRPr="00000000">
        <w:rPr>
          <w:rFonts w:ascii="Times New Roman" w:cs="Times New Roman" w:eastAsia="Times New Roman" w:hAnsi="Times New Roman"/>
          <w:color w:val="000000"/>
          <w:rtl w:val="0"/>
        </w:rPr>
        <w:t xml:space="preserve">, 510 U.S. at 592; </w:t>
      </w:r>
      <w:r w:rsidDel="00000000" w:rsidR="00000000" w:rsidRPr="00000000">
        <w:rPr>
          <w:rFonts w:ascii="Times New Roman" w:cs="Times New Roman" w:eastAsia="Times New Roman" w:hAnsi="Times New Roman"/>
          <w:i w:val="1"/>
          <w:iCs w:val="1"/>
          <w:color w:val="000000"/>
          <w:rtl w:val="0"/>
        </w:rPr>
        <w:t xml:space="preserve">Santos</w:t>
      </w:r>
      <w:r w:rsidDel="00000000" w:rsidR="00000000" w:rsidRPr="00000000">
        <w:rPr>
          <w:rFonts w:ascii="Times New Roman" w:cs="Times New Roman" w:eastAsia="Times New Roman" w:hAnsi="Times New Roman"/>
          <w:color w:val="000000"/>
          <w:rtl w:val="0"/>
        </w:rPr>
        <w:t xml:space="preserve">, 154 F.4th at 35.</w:t>
      </w:r>
    </w:p>
    <w:p w:rsidR="00000000" w:rsidDel="00000000" w:rsidP="00000000" w:rsidRDefault="00000000" w:rsidRPr="00000000" w14:paraId="0000008D">
      <w:pPr>
        <w:pStyle w:val="Heading3"/>
        <w:keepNext w:val="0"/>
        <w:keepLines w:val="0"/>
        <w:spacing w:after="0" w:before="200" w:line="240" w:lineRule="auto"/>
        <w:rPr>
          <w:rFonts w:ascii="Times New Roman" w:cs="Times New Roman" w:eastAsia="Times New Roman" w:hAnsi="Times New Roman"/>
          <w:b w:val="1"/>
          <w:bCs w:val="1"/>
          <w:color w:val="000000"/>
          <w:sz w:val="24"/>
          <w:szCs w:val="24"/>
        </w:rPr>
      </w:pPr>
      <w:bookmarkStart w:colFirst="0" w:colLast="0" w:name="_fql3rw2f7zym" w:id="22"/>
      <w:bookmarkEnd w:id="22"/>
      <w:r w:rsidDel="00000000" w:rsidR="00000000" w:rsidRPr="00000000">
        <w:rPr>
          <w:rFonts w:ascii="Times New Roman" w:cs="Times New Roman" w:eastAsia="Times New Roman" w:hAnsi="Times New Roman"/>
          <w:b w:val="1"/>
          <w:bCs w:val="1"/>
          <w:color w:val="000000"/>
          <w:sz w:val="24"/>
          <w:szCs w:val="24"/>
          <w:rtl w:val="0"/>
        </w:rPr>
        <w:t xml:space="preserve">Application:</w:t>
      </w:r>
    </w:p>
    <w:p w:rsidR="00000000" w:rsidDel="00000000" w:rsidP="00000000" w:rsidRDefault="00000000" w:rsidRPr="00000000" w14:paraId="0000008E">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No derivative market exists for educational songs criticizing Riven’s work:</w:t>
      </w:r>
      <w:r w:rsidDel="00000000" w:rsidR="00000000" w:rsidRPr="00000000">
        <w:rPr>
          <w:rtl w:val="0"/>
        </w:rPr>
      </w:r>
    </w:p>
    <w:p w:rsidR="00000000" w:rsidDel="00000000" w:rsidP="00000000" w:rsidRDefault="00000000" w:rsidRPr="00000000" w14:paraId="0000008F">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EchoCraft operates in “no licensing market” zone of criticism, not in competition with Riven’s licensing opportunities</w:t>
      </w:r>
    </w:p>
    <w:p w:rsidR="00000000" w:rsidDel="00000000" w:rsidP="00000000" w:rsidRDefault="00000000" w:rsidRPr="00000000" w14:paraId="00000090">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Any harm results from critical suppression, not market substitution:</w:t>
      </w:r>
    </w:p>
    <w:p w:rsidR="00000000" w:rsidDel="00000000" w:rsidP="00000000" w:rsidRDefault="00000000" w:rsidRPr="00000000" w14:paraId="00000091">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If schools reject Riven’s song after encountering EchoCraft’s version, it’s because criticism is effective</w:t>
      </w:r>
    </w:p>
    <w:p w:rsidR="00000000" w:rsidDel="00000000" w:rsidP="00000000" w:rsidRDefault="00000000" w:rsidRPr="00000000" w14:paraId="00000092">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Educators realize Riven’s version teaches false or misleading history</w:t>
      </w:r>
    </w:p>
    <w:p w:rsidR="00000000" w:rsidDel="00000000" w:rsidP="00000000" w:rsidRDefault="00000000" w:rsidRPr="00000000" w14:paraId="00000093">
      <w:pPr>
        <w:pStyle w:val="Heading4"/>
        <w:keepNext w:val="0"/>
        <w:keepLines w:val="0"/>
        <w:spacing w:after="180" w:before="180" w:line="240" w:lineRule="auto"/>
        <w:rPr>
          <w:rFonts w:ascii="Times New Roman" w:cs="Times New Roman" w:eastAsia="Times New Roman" w:hAnsi="Times New Roman"/>
          <w:b w:val="1"/>
          <w:bCs w:val="1"/>
          <w:color w:val="000000"/>
        </w:rPr>
      </w:pPr>
      <w:bookmarkStart w:colFirst="0" w:colLast="0" w:name="_lqb0zi44hmn7" w:id="13"/>
      <w:bookmarkEnd w:id="13"/>
      <w:r w:rsidDel="00000000" w:rsidR="00000000" w:rsidRPr="00000000">
        <w:rPr>
          <w:rFonts w:ascii="Times New Roman" w:cs="Times New Roman" w:eastAsia="Times New Roman" w:hAnsi="Times New Roman"/>
          <w:b w:val="1"/>
          <w:bCs w:val="1"/>
          <w:color w:val="000000"/>
          <w:rtl w:val="0"/>
        </w:rPr>
        <w:t xml:space="preserve">Riven has no established educational licensing market:</w:t>
      </w:r>
    </w:p>
    <w:p w:rsidR="00000000" w:rsidDel="00000000" w:rsidP="00000000" w:rsidRDefault="00000000" w:rsidRPr="00000000" w14:paraId="00000094">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lqb0zi44hmn7" w:id="13"/>
      <w:bookmarkEnd w:id="1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Only preliminary negotiations with schools</w:t>
      </w:r>
    </w:p>
    <w:p w:rsidR="00000000" w:rsidDel="00000000" w:rsidP="00000000" w:rsidRDefault="00000000" w:rsidRPr="00000000" w14:paraId="00000095">
      <w:pPr>
        <w:pStyle w:val="Heading4"/>
        <w:keepNext w:val="0"/>
        <w:keepLines w:val="0"/>
        <w:spacing w:after="40" w:before="40" w:line="240" w:lineRule="auto"/>
        <w:ind w:left="1200" w:hanging="480"/>
        <w:rPr>
          <w:rFonts w:ascii="Times New Roman" w:cs="Times New Roman" w:eastAsia="Times New Roman" w:hAnsi="Times New Roman"/>
          <w:color w:val="000000"/>
        </w:rPr>
      </w:pPr>
      <w:bookmarkStart w:colFirst="0" w:colLast="0" w:name="_6khwkr7472ws" w:id="23"/>
      <w:bookmarkEnd w:id="23"/>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Times New Roman" w:cs="Times New Roman" w:eastAsia="Times New Roman" w:hAnsi="Times New Roman"/>
          <w:color w:val="000000"/>
          <w:rtl w:val="0"/>
        </w:rPr>
        <w:t xml:space="preserve">No executed contracts or licensing revenue generated</w:t>
      </w:r>
    </w:p>
    <w:p w:rsidR="00000000" w:rsidDel="00000000" w:rsidP="00000000" w:rsidRDefault="00000000" w:rsidRPr="00000000" w14:paraId="00000096">
      <w:pPr>
        <w:pStyle w:val="Heading4"/>
        <w:keepNext w:val="0"/>
        <w:keepLines w:val="0"/>
        <w:spacing w:after="180" w:before="180" w:line="240" w:lineRule="auto"/>
        <w:rPr>
          <w:rFonts w:ascii="Times New Roman" w:cs="Times New Roman" w:eastAsia="Times New Roman" w:hAnsi="Times New Roman"/>
          <w:color w:val="000000"/>
        </w:rPr>
      </w:pPr>
      <w:bookmarkStart w:colFirst="0" w:colLast="0" w:name="_rwr1xk96yid5" w:id="24"/>
      <w:bookmarkEnd w:id="24"/>
      <w:r w:rsidDel="00000000" w:rsidR="00000000" w:rsidRPr="00000000">
        <w:rPr>
          <w:rFonts w:ascii="Times New Roman" w:cs="Times New Roman" w:eastAsia="Times New Roman" w:hAnsi="Times New Roman"/>
          <w:color w:val="000000"/>
          <w:rtl w:val="0"/>
        </w:rPr>
        <w:t xml:space="preserve">Factor Four strongly favors EchoCraft: no cognizable market harm through substitution, no protectible derivative market for criticism, no established licensing market that EchoCraft could usurp.</w:t>
      </w:r>
    </w:p>
    <w:p w:rsidR="00000000" w:rsidDel="00000000" w:rsidP="00000000" w:rsidRDefault="00000000" w:rsidRPr="00000000" w14:paraId="00000097">
      <w:pPr>
        <w:pStyle w:val="Heading4"/>
        <w:keepNext w:val="0"/>
        <w:keepLines w:val="0"/>
        <w:spacing w:after="0" w:before="0" w:line="240" w:lineRule="auto"/>
        <w:rPr>
          <w:rFonts w:ascii="Times New Roman" w:cs="Times New Roman" w:eastAsia="Times New Roman" w:hAnsi="Times New Roman"/>
        </w:rPr>
      </w:pPr>
      <w:bookmarkStart w:colFirst="0" w:colLast="0" w:name="_lqb0zi44hmn7" w:id="13"/>
      <w:bookmarkEnd w:id="13"/>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Next w:val="0"/>
        <w:keepLines w:val="0"/>
        <w:spacing w:after="0" w:before="0" w:line="240" w:lineRule="auto"/>
        <w:rPr>
          <w:rFonts w:ascii="Times New Roman" w:cs="Times New Roman" w:eastAsia="Times New Roman" w:hAnsi="Times New Roman"/>
          <w:b w:val="1"/>
          <w:bCs w:val="1"/>
          <w:sz w:val="28"/>
          <w:szCs w:val="28"/>
        </w:rPr>
      </w:pPr>
      <w:bookmarkStart w:colFirst="0" w:colLast="0" w:name="_75dll1xajmt4" w:id="25"/>
      <w:bookmarkEnd w:id="25"/>
      <w:r w:rsidDel="00000000" w:rsidR="00000000" w:rsidRPr="00000000">
        <w:rPr>
          <w:rFonts w:ascii="Times New Roman" w:cs="Times New Roman" w:eastAsia="Times New Roman" w:hAnsi="Times New Roman"/>
          <w:b w:val="1"/>
          <w:bCs w:val="1"/>
          <w:sz w:val="28"/>
          <w:szCs w:val="28"/>
          <w:rtl w:val="0"/>
        </w:rPr>
        <w:t xml:space="preserve">VI. Restatement of Conclusion</w:t>
      </w:r>
    </w:p>
    <w:p w:rsidR="00000000" w:rsidDel="00000000" w:rsidP="00000000" w:rsidRDefault="00000000" w:rsidRPr="00000000" w14:paraId="0000009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foregoing reasons, the district court correctly granted summary judgment to EchoCraft on both the retaliation and copyright claims. The judgment should be affirmed in full.</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