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val="0"/>
          <w:i w:val="0"/>
          <w:strike w:val="0"/>
        </w:rPr>
        <w:t>If a loan servicer's online portal has separate sections for statements and notifications, and the borrower regularly checks statements but misses notifications in a different section, does this affect whether the borrower received adequate notice of default?</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NJ, 3rd Circuit</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In New Jersey and the Third Circuit, a loan servicer's placement of default notifications in a separate online portal section that a borrower fails to check does not constitute adequate notice of default. New Jersey's Fair Foreclosure Act mandates notice by registered or certified mail, and courts consistently favor actual notice over constructive notice methods. A borrower's regular checking of statements in one portal section while missing notifications in another does not cure defective notice or impose a duty on the borrower to monitor all portal sections when proper statutory notice methods are required.</w:t>
        <w:br/>
      </w:r>
    </w:p>
    <w:p>
      <w:pPr>
        <w:pStyle w:val="Heading3"/>
        <w:rPr>
          <w:b w:val="0"/>
          <w:i w:val="0"/>
          <w:strike w:val="0"/>
        </w:rPr>
      </w:pPr>
      <w:r>
        <w:rPr>
          <w:b/>
          <w:u w:val="none"/>
        </w:rPr>
        <w:t>New Jersey's Statutory Notice Requirements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New Jersey Fair Foreclosure Act establishes mandatory notice requirements that do not authorize electronic delivery as adequate notice of default. Under N.J.S.A. 2A:50-56, before commencing foreclosure proceedings, lenders must provide written notice "sent to the debtor by registered or certified mail, return receipt requested, at the debtor's last known address, and, if different, to the address of the property which is the subject of the residential mortgage" </w:t>
      </w:r>
      <w:hyperlink r:id="rId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NJ ST 2A:50-56</w:t>
        </w:r>
      </w:hyperlink>
      <w:r>
        <w:rPr>
          <w:rFonts w:ascii="Arial" w:eastAsia="Times New Roman" w:hAnsi="Arial" w:cs="Arial"/>
          <w:b w:val="0"/>
          <w:i w:val="0"/>
          <w:strike w:val="0"/>
          <w:color w:val="1D1D1D"/>
          <w:u w:val="none"/>
        </w:rPr>
        <w:t xml:space="preserve">. The statute explicitly states that notice "is deemed to have been effectuated on the date the notice is delivered in person or mailed to the party" </w:t>
      </w:r>
      <w:hyperlink r:id="rId4" w:history="1">
        <w:r>
          <w:pict>
            <v:shape id="_x0000_i102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NJ ST 2A:50-56</w:t>
        </w:r>
      </w:hyperlink>
      <w:r>
        <w:rPr>
          <w:rFonts w:ascii="Arial" w:eastAsia="Times New Roman" w:hAnsi="Arial" w:cs="Arial"/>
          <w:b w:val="0"/>
          <w:i w:val="0"/>
          <w:strike w:val="0"/>
          <w:color w:val="1D1D1D"/>
          <w:u w:val="none"/>
        </w:rPr>
        <w:t>, establishing physical delivery as the exclusive method for adequate notice.</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This statutory framework creates no exception for electronic delivery through online portals, regardless of whether borrowers regularly access other sections of those portals. The Fair Foreclosure Act's notice requirement is "independent of any other duty to give notice under the common law, principles of equity, State or federal statute, or rule of court" </w:t>
      </w:r>
      <w:hyperlink r:id="rId4" w:history="1">
        <w:r>
          <w:pict>
            <v:shape id="_x0000_i102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NJ ST 2A:50-56</w:t>
        </w:r>
      </w:hyperlink>
      <w:r>
        <w:rPr>
          <w:rFonts w:ascii="Arial" w:eastAsia="Times New Roman" w:hAnsi="Arial" w:cs="Arial"/>
          <w:b w:val="0"/>
          <w:i w:val="0"/>
          <w:strike w:val="0"/>
          <w:color w:val="1D1D1D"/>
          <w:u w:val="none"/>
        </w:rPr>
        <w:t>, establishing it as a standalone obligation that cannot be satisfied through alternative delivery methods.</w:t>
        <w:br/>
      </w:r>
    </w:p>
    <w:p>
      <w:pPr>
        <w:pStyle w:val="Heading3"/>
        <w:rPr>
          <w:b w:val="0"/>
          <w:i w:val="0"/>
          <w:strike w:val="0"/>
        </w:rPr>
      </w:pPr>
      <w:r>
        <w:rPr>
          <w:b/>
          <w:u w:val="none"/>
        </w:rPr>
        <w:t>Federal Constitutional Standards for Notice</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United States Supreme Court's decision in </w:t>
      </w:r>
      <w:hyperlink r:id="rId7" w:history="1">
        <w:r>
          <w:pict>
            <v:shape id="_x0000_i1029"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Mennonite Bd. of Missions v. Adams, 462 U.S. 791 (1983)</w:t>
        </w:r>
      </w:hyperlink>
      <w:r>
        <w:rPr>
          <w:rFonts w:ascii="Arial" w:eastAsia="Times New Roman" w:hAnsi="Arial" w:cs="Arial"/>
          <w:b w:val="0"/>
          <w:i w:val="0"/>
          <w:strike w:val="0"/>
          <w:color w:val="1D1D1D"/>
          <w:u w:val="none"/>
        </w:rPr>
        <w:t xml:space="preserve"> establishes that due process requires actual notice by mail when the identity and address of interested parties are known and mailing is feasible. The Court held that "notice by mail or other means as certain to insure actual notice is minimum constitutional precondition to proceeding which will adversely affect liberty or property interests of any party" when names and addresses are reasonably ascertainable </w:t>
      </w:r>
      <w:hyperlink r:id="rId7" w:history="1">
        <w:r>
          <w:pict>
            <v:shape id="_x0000_i1030"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Mennonite Bd. of Missions v. Adams, 462 U.S. 791 (1983)</w:t>
        </w:r>
      </w:hyperlink>
      <w:r>
        <w:rPr>
          <w:rFonts w:ascii="Arial" w:eastAsia="Times New Roman" w:hAnsi="Arial" w:cs="Arial"/>
          <w:b w:val="0"/>
          <w:i w:val="0"/>
          <w:strike w:val="0"/>
          <w:color w:val="1D1D1D"/>
          <w:u w:val="none"/>
        </w:rPr>
        <w:t>. This principle reinforces that constructive notice alone is insufficient when actual notice is possible.</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Third Circuit has applied this standard consistently, recognizing that due process favors actual notice whenever feasible. In </w:t>
      </w:r>
      <w:hyperlink r:id="rId9" w:history="1">
        <w:r>
          <w:rPr>
            <w:rStyle w:val="Hyperlink"/>
            <w:rFonts w:ascii="Arial" w:eastAsia="Times New Roman" w:hAnsi="Arial" w:cs="Arial"/>
            <w:b w:val="0"/>
            <w:i w:val="0"/>
            <w:strike w:val="0"/>
            <w:color w:val="467886"/>
            <w:u w:val="none"/>
          </w:rPr>
          <w:t>Shipley v. First Federal Sav. and Loan Ass'n of Delaware, 619 F.Supp. 421 (1985)</w:t>
        </w:r>
      </w:hyperlink>
      <w:r>
        <w:rPr>
          <w:rFonts w:ascii="Arial" w:eastAsia="Times New Roman" w:hAnsi="Arial" w:cs="Arial"/>
          <w:b w:val="0"/>
          <w:i w:val="0"/>
          <w:strike w:val="0"/>
          <w:color w:val="1D1D1D"/>
          <w:u w:val="none"/>
        </w:rPr>
        <w:t>, a federal district court within the Third Circuit's jurisdiction emphasized that "mailed notice is an essential adjunct to any constructive notice provision" when addressing mortgage-related proceedings.</w:t>
        <w:br/>
      </w:r>
    </w:p>
    <w:p>
      <w:pPr>
        <w:pStyle w:val="Heading3"/>
        <w:rPr>
          <w:b w:val="0"/>
          <w:i w:val="0"/>
          <w:strike w:val="0"/>
        </w:rPr>
      </w:pPr>
      <w:r>
        <w:rPr>
          <w:b/>
          <w:u w:val="none"/>
        </w:rPr>
        <w:t>New Jersey Courts' Treatment of Notice Standards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New Jersey courts have consistently rejected inadequate notice delivery methods and maintained strict adherence to actual notice requirements. In </w:t>
      </w:r>
      <w:hyperlink r:id="rId10" w:history="1">
        <w:r>
          <w:pict>
            <v:shape id="_x0000_i1031"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1" w:history="1">
        <w:r>
          <w:rPr>
            <w:rStyle w:val="Hyperlink"/>
            <w:rFonts w:ascii="Arial" w:eastAsia="Times New Roman" w:hAnsi="Arial" w:cs="Arial"/>
            <w:b w:val="0"/>
            <w:i w:val="0"/>
            <w:strike w:val="0"/>
            <w:color w:val="467886"/>
            <w:u w:val="none"/>
          </w:rPr>
          <w:t>US Bank Nat. Ass'n v. Guillaume, 209 N.J. 449 (2012)</w:t>
        </w:r>
      </w:hyperlink>
      <w:r>
        <w:rPr>
          <w:rFonts w:ascii="Arial" w:eastAsia="Times New Roman" w:hAnsi="Arial" w:cs="Arial"/>
          <w:b w:val="0"/>
          <w:i w:val="0"/>
          <w:strike w:val="0"/>
          <w:color w:val="1D1D1D"/>
          <w:u w:val="none"/>
        </w:rPr>
        <w:t>, the New Jersey Supreme Court emphasized that notice of intention to foreclose serves "the important legislative objective of providing timely and clear notice to homeowners that immediate action is necessary to forestall foreclosure" and must substantially comply with statutory requirements.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Appellate Division's decision in </w:t>
      </w:r>
      <w:hyperlink r:id="rId12" w:history="1">
        <w:r>
          <w:rPr>
            <w:rStyle w:val="Hyperlink"/>
            <w:rFonts w:ascii="Arial" w:eastAsia="Times New Roman" w:hAnsi="Arial" w:cs="Arial"/>
            <w:b w:val="0"/>
            <w:i w:val="0"/>
            <w:strike w:val="0"/>
            <w:color w:val="467886"/>
            <w:u w:val="none"/>
          </w:rPr>
          <w:t>EMC Mortg. Corp. v. Chaudhri, 400 N.J.Super. 126 (2008)</w:t>
        </w:r>
      </w:hyperlink>
      <w:r>
        <w:rPr>
          <w:rFonts w:ascii="Arial" w:eastAsia="Times New Roman" w:hAnsi="Arial" w:cs="Arial"/>
          <w:b w:val="0"/>
          <w:i w:val="0"/>
          <w:strike w:val="0"/>
          <w:color w:val="1D1D1D"/>
          <w:u w:val="none"/>
        </w:rPr>
        <w:t xml:space="preserve"> reinforced that the Fair Foreclosure Act's notice provisions are designed to ensure "homeowners every opportunity to pay their home mortgages, and thus keep their homes" by requiring proper pre-suit notice through the statutorily mandated delivery methods.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New Jersey courts have specifically rejected electronic notice as adequate under statutory schemes. In </w:t>
      </w:r>
      <w:hyperlink r:id="rId13" w:history="1">
        <w:r>
          <w:rPr>
            <w:rStyle w:val="Hyperlink"/>
            <w:rFonts w:ascii="Arial" w:eastAsia="Times New Roman" w:hAnsi="Arial" w:cs="Arial"/>
            <w:b w:val="0"/>
            <w:i w:val="0"/>
            <w:strike w:val="0"/>
            <w:color w:val="467886"/>
            <w:u w:val="none"/>
          </w:rPr>
          <w:t>Edison Board of Education v. Zoning Board of Adjustment of the Township of Edison, 464 N.J.Super. 298 (2020)</w:t>
        </w:r>
      </w:hyperlink>
      <w:r>
        <w:rPr>
          <w:rFonts w:ascii="Arial" w:eastAsia="Times New Roman" w:hAnsi="Arial" w:cs="Arial"/>
          <w:b w:val="0"/>
          <w:i w:val="0"/>
          <w:strike w:val="0"/>
          <w:color w:val="1D1D1D"/>
          <w:u w:val="none"/>
        </w:rPr>
        <w:t>, the Appellate Division held that "electronic notice via the internet, permissible pursuant to the statute for conducting meetings by electronic means during periods of emergency, is not an adequate statutory notice under the Open Public Meetings Act." This decision demonstrates New Jersey courts' resistance to accepting electronic delivery as sufficient notice when specific statutory delivery methods are required.</w:t>
        <w:br/>
      </w:r>
    </w:p>
    <w:p>
      <w:pPr>
        <w:pStyle w:val="Heading3"/>
        <w:rPr>
          <w:b w:val="0"/>
          <w:i w:val="0"/>
          <w:strike w:val="0"/>
        </w:rPr>
      </w:pPr>
      <w:r>
        <w:rPr>
          <w:b/>
          <w:u w:val="none"/>
        </w:rPr>
        <w:t>Borrower's Duty to Monitor Communications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New Jersey law places no affirmative duty on borrowers to monitor different sections of online portals when proper notice is required by statute. The principle established in </w:t>
      </w:r>
      <w:hyperlink r:id="rId14" w:history="1">
        <w:r>
          <w:rPr>
            <w:rStyle w:val="Hyperlink"/>
            <w:rFonts w:ascii="Arial" w:eastAsia="Times New Roman" w:hAnsi="Arial" w:cs="Arial"/>
            <w:b w:val="0"/>
            <w:i w:val="0"/>
            <w:strike w:val="0"/>
            <w:color w:val="467886"/>
            <w:u w:val="none"/>
          </w:rPr>
          <w:t>Continental Bank &amp; Trust Co. of New York v. Fulton Realty Co., 10 N.J. Misc. 1105 (1932)</w:t>
        </w:r>
      </w:hyperlink>
      <w:r>
        <w:rPr>
          <w:rFonts w:ascii="Arial" w:eastAsia="Times New Roman" w:hAnsi="Arial" w:cs="Arial"/>
          <w:b w:val="0"/>
          <w:i w:val="0"/>
          <w:strike w:val="0"/>
          <w:color w:val="1D1D1D"/>
          <w:u w:val="none"/>
        </w:rPr>
        <w:t xml:space="preserve"> demonstrates that even actual knowledge of default notice does not cure defective delivery methods. The court held that notice addressed to one entity that "fell into the hands" of another was inadequate, even though the recipient had actual knowledge of the default, because it was not proper written notice to the correct party </w:t>
      </w:r>
      <w:hyperlink r:id="rId14" w:history="1">
        <w:r>
          <w:rPr>
            <w:rStyle w:val="Hyperlink"/>
            <w:rFonts w:ascii="Arial" w:eastAsia="Times New Roman" w:hAnsi="Arial" w:cs="Arial"/>
            <w:b w:val="0"/>
            <w:i w:val="0"/>
            <w:strike w:val="0"/>
            <w:color w:val="467886"/>
            <w:u w:val="none"/>
          </w:rPr>
          <w:t>Continental Bank &amp; Trust Co. of New York v. Fulton Realty Co., 10 N.J. Misc. 1105 (1932)</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This principle extends to portal organization: a borrower's failure to check a separate notifications section while regularly accessing statements does not constitute negligence or waive the right to proper statutory notice. The court in </w:t>
      </w:r>
      <w:hyperlink r:id="rId14" w:history="1">
        <w:r>
          <w:rPr>
            <w:rStyle w:val="Hyperlink"/>
            <w:rFonts w:ascii="Arial" w:eastAsia="Times New Roman" w:hAnsi="Arial" w:cs="Arial"/>
            <w:b w:val="0"/>
            <w:i w:val="0"/>
            <w:strike w:val="0"/>
            <w:color w:val="467886"/>
            <w:u w:val="none"/>
          </w:rPr>
          <w:t>Continental Bank &amp; Trust Co. of New York v. Fulton Realty Co., 10 N.J. Misc. 1105 (1932)</w:t>
        </w:r>
      </w:hyperlink>
      <w:r>
        <w:rPr>
          <w:rFonts w:ascii="Arial" w:eastAsia="Times New Roman" w:hAnsi="Arial" w:cs="Arial"/>
          <w:b w:val="0"/>
          <w:i w:val="0"/>
          <w:strike w:val="0"/>
          <w:color w:val="1D1D1D"/>
          <w:u w:val="none"/>
        </w:rPr>
        <w:t xml:space="preserve"> emphasized that knowledge obtained through improper channels cannot substitute for compliance with notice requirements, reasoning that proper notice procedures exist for important legal reasons.</w:t>
        <w:br/>
      </w:r>
    </w:p>
    <w:p>
      <w:pPr>
        <w:pStyle w:val="Heading3"/>
        <w:rPr>
          <w:b w:val="0"/>
          <w:i w:val="0"/>
          <w:strike w:val="0"/>
        </w:rPr>
      </w:pPr>
      <w:r>
        <w:rPr>
          <w:b/>
          <w:u w:val="none"/>
        </w:rPr>
        <w:t>Federal Regulations and Servicer Obligations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Federal RESPA regulations address servicer-borrower communications but do not establish electronic notice delivery standards for default notices. The regulations in 12 C.F.R. § 1024.35 and § 1024.36 govern how servicers must respond to borrower error notices and information requests, requiring servicers to establish clear contact methods and post designated addresses on websites if they maintain them </w:t>
      </w:r>
      <w:hyperlink r:id="rId15" w:history="1">
        <w:r>
          <w:rPr>
            <w:rStyle w:val="Hyperlink"/>
            <w:rFonts w:ascii="Arial" w:eastAsia="Times New Roman" w:hAnsi="Arial" w:cs="Arial"/>
            <w:b w:val="0"/>
            <w:i w:val="0"/>
            <w:strike w:val="0"/>
            <w:color w:val="467886"/>
            <w:u w:val="none"/>
          </w:rPr>
          <w:t>12 CFR § 1024.35</w:t>
        </w:r>
      </w:hyperlink>
      <w:r>
        <w:rPr>
          <w:rFonts w:ascii="Arial" w:eastAsia="Times New Roman" w:hAnsi="Arial" w:cs="Arial"/>
          <w:b w:val="0"/>
          <w:i w:val="0"/>
          <w:strike w:val="0"/>
          <w:color w:val="1D1D1D"/>
          <w:u w:val="none"/>
        </w:rPr>
        <w:t xml:space="preserve"> </w:t>
      </w:r>
      <w:hyperlink r:id="rId16" w:history="1">
        <w:r>
          <w:rPr>
            <w:rStyle w:val="Hyperlink"/>
            <w:rFonts w:ascii="Arial" w:eastAsia="Times New Roman" w:hAnsi="Arial" w:cs="Arial"/>
            <w:b w:val="0"/>
            <w:i w:val="0"/>
            <w:strike w:val="0"/>
            <w:color w:val="467886"/>
            <w:u w:val="none"/>
          </w:rPr>
          <w:t>12 CFR § 1024.36</w:t>
        </w:r>
      </w:hyperlink>
      <w:r>
        <w:rPr>
          <w:rFonts w:ascii="Arial" w:eastAsia="Times New Roman" w:hAnsi="Arial" w:cs="Arial"/>
          <w:b w:val="0"/>
          <w:i w:val="0"/>
          <w:strike w:val="0"/>
          <w:color w:val="1D1D1D"/>
          <w:u w:val="none"/>
        </w:rPr>
        <w:t>. However, these provisions regulate borrower-initiated communications to servicers, not servicer-initiated default notices to borrowers.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The federal regulatory framework does not preempt or modify state law notice requirements for foreclosure proceedings, leaving New Jersey's Fair Foreclosure Act as the controlling authority for default notice adequacy.</w:t>
      </w:r>
    </w:p>
    <w:p w:rsidR="000911FB" w:rsidRPr="00E5063B" w:rsidP="000911FB" w14:paraId="5F10F1E7" w14:textId="77777777">
      <w:pPr>
        <w:pStyle w:val="Report-Body"/>
      </w:pPr>
    </w:p>
    <w:p>
      <w:pPr>
        <w:pStyle w:val="Heading3"/>
        <w:rPr>
          <w:b w:val="0"/>
          <w:i w:val="0"/>
          <w:strike w:val="0"/>
        </w:rPr>
      </w:pPr>
      <w:r>
        <w:rPr>
          <w:b/>
          <w:u w:val="none"/>
        </w:rPr>
        <w:t>Administrative Decisions and Guidance</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Mortgage servicers are required under Regulation X and related CFPB guidelines to provide borrowers with timely and proper notices, including those related to default and loss mitigation efforts. Servicers must maintain clear policies and procedures to ensure that all notices reach borrowers effectively, especially in loan transfers, delinquency, and default scenarios. The CFPB emphasizes the need for servicer personnel to have access to complete borrower information and to make reasonable efforts to communicate, including through various methods such as mail, electronic communication, and secure web portals. These communications must be clear, accessible, and ensure that borrowers receive critical information such as notices of default and options for housing counseling or loss mitigation. The servicer’s obligation includes ensuring continuity of contact and timely delivery of all required notices according to regulatory timeframes, irrespective of how the information is presented or segregated across different communication platforms or online portals </w:t>
      </w:r>
      <w:hyperlink r:id="rId17" w:history="1">
        <w:r>
          <w:rPr>
            <w:rStyle w:val="Hyperlink"/>
            <w:rFonts w:ascii="Arial" w:eastAsia="Times New Roman" w:hAnsi="Arial" w:cs="Arial"/>
            <w:b w:val="0"/>
            <w:i w:val="0"/>
            <w:strike w:val="0"/>
            <w:color w:val="467886"/>
            <w:u w:val="none"/>
          </w:rPr>
          <w:t>C.F.P.B 08192014 CFPBGUIDANCE</w:t>
        </w:r>
      </w:hyperlink>
      <w:r>
        <w:rPr>
          <w:rFonts w:ascii="Arial" w:eastAsia="Times New Roman" w:hAnsi="Arial" w:cs="Arial"/>
          <w:b w:val="0"/>
          <w:i w:val="0"/>
          <w:strike w:val="0"/>
          <w:color w:val="1D1D1D"/>
          <w:u w:val="none"/>
        </w:rPr>
        <w:t xml:space="preserve">, </w:t>
      </w:r>
      <w:hyperlink r:id="rId18" w:history="1">
        <w:r>
          <w:rPr>
            <w:rStyle w:val="Hyperlink"/>
            <w:rFonts w:ascii="Arial" w:eastAsia="Times New Roman" w:hAnsi="Arial" w:cs="Arial"/>
            <w:b w:val="0"/>
            <w:i w:val="0"/>
            <w:strike w:val="0"/>
            <w:color w:val="467886"/>
            <w:u w:val="none"/>
          </w:rPr>
          <w:t>HUDML Mortgagee Letter 2025-06</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Failure to communicate effectively or to respond to borrower inquiries can constitute unfair acts or practices under the Consumer Financial Protection Act (CFPA), leading to borrower injury through missed information, fees, or foreclosure. The CFPB’s enforcement actions highlight the importance of notices being not only sent but also effectively received and processed by borrowers, with servicers required to track and respond to borrower communications adequately. Importantly, the mere placement of notices and statements in separate online portal sections without ensuring borrower awareness or effective notification may undermine compliance with notice requirements, since servicers must reasonably design their procedures to inform borrowers of important defaults or loan issues </w:t>
      </w:r>
      <w:hyperlink r:id="rId19" w:history="1">
        <w:r>
          <w:rPr>
            <w:rStyle w:val="Hyperlink"/>
            <w:rFonts w:ascii="Arial" w:eastAsia="Times New Roman" w:hAnsi="Arial" w:cs="Arial"/>
            <w:b w:val="0"/>
            <w:i w:val="0"/>
            <w:strike w:val="0"/>
            <w:color w:val="467886"/>
            <w:u w:val="none"/>
          </w:rPr>
          <w:t>C.F.P.B 2024 CFPBCO 0004</w:t>
        </w:r>
      </w:hyperlink>
      <w:r>
        <w:rPr>
          <w:rFonts w:ascii="Arial" w:eastAsia="Times New Roman" w:hAnsi="Arial" w:cs="Arial"/>
          <w:b w:val="0"/>
          <w:i w:val="0"/>
          <w:strike w:val="0"/>
          <w:color w:val="1D1D1D"/>
          <w:u w:val="none"/>
        </w:rPr>
        <w:t xml:space="preserve">, </w:t>
      </w:r>
      <w:hyperlink r:id="rId20" w:history="1">
        <w:r>
          <w:rPr>
            <w:rStyle w:val="Hyperlink"/>
            <w:rFonts w:ascii="Arial" w:eastAsia="Times New Roman" w:hAnsi="Arial" w:cs="Arial"/>
            <w:b w:val="0"/>
            <w:i w:val="0"/>
            <w:strike w:val="0"/>
            <w:color w:val="467886"/>
            <w:u w:val="none"/>
          </w:rPr>
          <w:t>C.F.P.B 2024 CFPBCO 0005</w:t>
        </w:r>
      </w:hyperlink>
      <w:r>
        <w:rPr>
          <w:rFonts w:ascii="Arial" w:eastAsia="Times New Roman" w:hAnsi="Arial" w:cs="Arial"/>
          <w:b w:val="0"/>
          <w:i w:val="0"/>
          <w:strike w:val="0"/>
          <w:color w:val="1D1D1D"/>
          <w:u w:val="none"/>
        </w:rPr>
        <w:t>. The regulatory focus is on actual notice and meaningful communication rather than solely on the method or location within an online portal.</w:t>
        <w:br/>
      </w:r>
    </w:p>
    <w:p>
      <w:pPr>
        <w:pStyle w:val="Heading3"/>
        <w:rPr>
          <w:b w:val="0"/>
          <w:i w:val="0"/>
          <w:strike w:val="0"/>
        </w:rPr>
      </w:pPr>
      <w:r>
        <w:rPr>
          <w:b/>
          <w:u w:val="none"/>
        </w:rPr>
        <w:t>Commentary on This Question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Loan servicers are generally required to provide notice of default and other important communications to borrowers in mortgage servicing and foreclosure contexts. Compliance with statutory notice provisions often rests on the servicer’s mailing practices and the existence of standard business procedures to ensure notice delivery, creating a rebuttable presumption that the borrower received notice if it is mailed properly. Judicial decisions have held affidavits documenting mailing practices and proof of delivery are sufficient to establish prima facie compliance with notice requirements. Absent contrary evidence, failure to rebut this presumption typically leads to a finding that adequate notice was given. Such notices must specify the default, required cure amount, potential acceleration of the loan, and rights to contest the default (including any potential court action) </w:t>
      </w:r>
      <w:hyperlink r:id="rId21" w:history="1">
        <w:r>
          <w:rPr>
            <w:rStyle w:val="Hyperlink"/>
            <w:rFonts w:ascii="Arial" w:eastAsia="Times New Roman" w:hAnsi="Arial" w:cs="Arial"/>
            <w:b w:val="0"/>
            <w:i w:val="0"/>
            <w:strike w:val="0"/>
            <w:color w:val="467886"/>
            <w:u w:val="none"/>
          </w:rPr>
          <w:t>125 AMJUR TRIALS 541</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Federal regulations (Regulation X under RESPA) require loan servicers to respond to qualified written requests and provide accurate, timely information about loan servicing and loss mitigation options but do not explicitly address borrower receipt of online notices in separate portal sections. Presumptions of receipt rely largely on established mailing and delivery protocols rather than borrower engagement with different communication channels </w:t>
      </w:r>
      <w:hyperlink r:id="rId22" w:history="1">
        <w:r>
          <w:rPr>
            <w:rStyle w:val="Hyperlink"/>
            <w:rFonts w:ascii="Arial" w:eastAsia="Times New Roman" w:hAnsi="Arial" w:cs="Arial"/>
            <w:b w:val="0"/>
            <w:i w:val="0"/>
            <w:strike w:val="0"/>
            <w:color w:val="467886"/>
            <w:u w:val="none"/>
          </w:rPr>
          <w:t>171 AMJUR TRIALS 79</w:t>
        </w:r>
      </w:hyperlink>
      <w:r>
        <w:rPr>
          <w:rFonts w:ascii="Arial" w:eastAsia="Times New Roman" w:hAnsi="Arial" w:cs="Arial"/>
          <w:b w:val="0"/>
          <w:i w:val="0"/>
          <w:strike w:val="0"/>
          <w:color w:val="1D1D1D"/>
          <w:u w:val="none"/>
        </w:rPr>
        <w:t xml:space="preserve">. The Third Circuit and New Jersey courts emphasize procedural compliance and the entire controversy doctrine in foreclosure contexts, but do not modify notice adequacy based on the borrower’s failure to check separate online notification sections. Thus, adequacy of notice hinges on servicer compliance with notice requirements and proof of transmission, not borrower portal behavior </w:t>
      </w:r>
      <w:hyperlink r:id="rId21" w:history="1">
        <w:r>
          <w:rPr>
            <w:rStyle w:val="Hyperlink"/>
            <w:rFonts w:ascii="Arial" w:eastAsia="Times New Roman" w:hAnsi="Arial" w:cs="Arial"/>
            <w:b w:val="0"/>
            <w:i w:val="0"/>
            <w:strike w:val="0"/>
            <w:color w:val="467886"/>
            <w:u w:val="none"/>
          </w:rPr>
          <w:t>125 AMJUR TRIALS 541</w:t>
        </w:r>
      </w:hyperlink>
      <w:r>
        <w:rPr>
          <w:rFonts w:ascii="Arial" w:eastAsia="Times New Roman" w:hAnsi="Arial" w:cs="Arial"/>
          <w:b w:val="0"/>
          <w:i w:val="0"/>
          <w:strike w:val="0"/>
          <w:color w:val="1D1D1D"/>
          <w:u w:val="none"/>
        </w:rPr>
        <w:t>.</w:t>
        <w:br/>
      </w:r>
    </w:p>
    <w:p w:rsidR="008F6E98" w:rsidRPr="000F6139" w:rsidP="000911FB" w14:paraId="1BDDA594" w14:textId="4A1ED078">
      <w:pPr>
        <w:pStyle w:val="Report-Body"/>
        <w:rPr>
          <w:i/>
          <w:iCs/>
          <w:color w:val="626262"/>
        </w:rPr>
      </w:pPr>
      <w:r>
        <w:rPr>
          <w:b w:val="0"/>
          <w:i/>
          <w:strike w:val="0"/>
          <w:color w:val="626262"/>
        </w:rPr>
        <w:t>Generated by AI. Not legal advice. A qualified professional must verify accuracy and legal compliance.</w:t>
      </w:r>
    </w:p>
    <w:p w:rsidR="008F6E98" w:rsidP="00732345" w14:paraId="7F309E74" w14:textId="7FFD4E0F">
      <w:pPr>
        <w:pStyle w:val="Report-Body"/>
      </w:pPr>
    </w:p>
    <w:p w:rsidR="00A703EB" w:rsidP="00732345" w14:paraId="2236D9F8" w14:textId="77777777">
      <w:pPr>
        <w:pStyle w:val="Report-Body"/>
        <w:rPr>
          <w:sz w:val="36"/>
          <w:szCs w:val="36"/>
        </w:rPr>
      </w:pP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2"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18</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hyperlink r:id="rId4" w:history="1">
        <w:r>
          <w:pict>
            <v:shape id="_x0000_i1033" type="#_x0000_t75" alt="KeyCite Yellow Flag" style="width:16pt;height:16pt">
              <v:imagedata r:id="rId5" o:title=""/>
            </v:shape>
          </w:pict>
        </w:r>
      </w:hyperlink>
      <w:r>
        <w:t xml:space="preserve"> </w:t>
      </w:r>
      <w:hyperlink r:id="rId6" w:history="1">
        <w:r>
          <w:rPr>
            <w:rStyle w:val="Hyperlink"/>
            <w:b/>
            <w:i w:val="0"/>
            <w:strike w:val="0"/>
            <w:color w:val="467886"/>
            <w:u w:val="single"/>
          </w:rPr>
          <w:t>2A:50-56. Written notice of intent to foreclose;  contents</w:t>
        </w:r>
      </w:hyperlink>
    </w:p>
    <w:p w:rsidR="000911FB" w:rsidRPr="00C67A9D" w:rsidP="000911FB" w14:paraId="778AA143" w14:textId="43CA2655">
      <w:pPr>
        <w:pStyle w:val="Report-Metadata"/>
        <w:rPr>
          <w:b w:val="0"/>
          <w:bCs w:val="0"/>
        </w:rPr>
      </w:pPr>
      <w:r>
        <w:rPr>
          <w:b/>
          <w:i w:val="0"/>
          <w:strike w:val="0"/>
        </w:rPr>
        <w:t>NJ ST 2A:50-56</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mandatory written notice requirements for residential mortgage foreclosure proceedings, requiring delivery by registered or certified mail</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...Notice of intention to take action as specified in subsection a. of this section shall be in writing, provided to the Department of Community Affairs in accordance with subsection a. of section 2 of P.L.2019, c. 134 (C.46:10B-49.2 ), sent to the debtor by registered or certified mail, return receipt requested, at the debtor's last known address, and, if different, to the address of the property which is the subject of the residential mortgage....</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...The notice is deemed to have been effectuated on the date the notice is delivered in person or mailed to the party....</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...e. The duty of the lender under this section to serve notice of intention to foreclose is independent of any other duty to give notice under the common law, principles of equity, State or federal statute, or rule of court and of any other right or remedy the debtor may have as a result of the failure to give such notice....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hyperlink r:id="rId7" w:history="1">
        <w:r>
          <w:pict>
            <v:shape id="_x0000_i1034" type="#_x0000_t75" alt="KeyCite Yellow Flag" style="width:16pt;height:16pt">
              <v:imagedata r:id="rId5" o:title=""/>
            </v:shape>
          </w:pict>
        </w:r>
      </w:hyperlink>
      <w:r>
        <w:t xml:space="preserve"> </w:t>
      </w:r>
      <w:hyperlink r:id="rId8" w:history="1">
        <w:r>
          <w:rPr>
            <w:rStyle w:val="Hyperlink"/>
            <w:b/>
            <w:i w:val="0"/>
            <w:strike w:val="0"/>
            <w:color w:val="467886"/>
            <w:u w:val="single"/>
          </w:rPr>
          <w:t>Mennonite Bd. of Missions v. Adams</w:t>
        </w:r>
      </w:hyperlink>
    </w:p>
    <w:p w:rsidR="000911FB" w:rsidRPr="00C67A9D" w:rsidP="000911FB" w14:textId="43CA2655">
      <w:pPr>
        <w:pStyle w:val="Report-Metadata"/>
        <w:rPr>
          <w:b w:val="0"/>
          <w:bCs w:val="0"/>
        </w:rPr>
      </w:pPr>
      <w:r>
        <w:rPr>
          <w:b/>
          <w:i w:val="0"/>
          <w:strike w:val="0"/>
        </w:rPr>
        <w:t>Supreme Court of the United States</w:t>
      </w:r>
      <w:r w:rsidRPr="00C67A9D">
        <w:rPr>
          <w:b w:val="0"/>
          <w:bCs w:val="0"/>
        </w:rPr>
        <w:t xml:space="preserve">   •   </w:t>
      </w:r>
      <w:r>
        <w:rPr>
          <w:b/>
          <w:i w:val="0"/>
          <w:strike w:val="0"/>
        </w:rPr>
        <w:t>June 22, 1983</w:t>
      </w:r>
      <w:r w:rsidRPr="00C67A9D">
        <w:rPr>
          <w:b w:val="0"/>
          <w:bCs w:val="0"/>
        </w:rPr>
        <w:t xml:space="preserve">   •   </w:t>
      </w:r>
      <w:r>
        <w:rPr>
          <w:b/>
          <w:i w:val="0"/>
          <w:strike w:val="0"/>
        </w:rPr>
        <w:t>462 U.S. 791</w:t>
      </w:r>
      <w:r w:rsidRPr="00C67A9D">
        <w:rPr>
          <w:b w:val="0"/>
          <w:bCs w:val="0"/>
        </w:rPr>
        <w:t xml:space="preserve">   •   </w:t>
      </w:r>
      <w:r>
        <w:rPr>
          <w:b/>
          <w:i w:val="0"/>
          <w:strike w:val="0"/>
        </w:rPr>
        <w:t>103 S.Ct. 2706</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due process requires actual notice by mail when names and addresses are reasonably ascertainable</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...Purchaser of property at tax sale brought suit to quiet title. The Superior Court, Elkhart County, Indiana, quieted title to the purchaser. The mortgagee appealed and the Indiana Court of Appeals, Third District, affirmed, 427 N.E.2d 686. The Supreme Court noted probable jurisdiction. The Supreme Court, Justice Marshall, held that: (1) notice by mail or other means as certain to insure actual notice is minimum constitutional precondition to proceeding which will adversely affect liberty or property interests of any party, whether unlettered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r>
        <w:t xml:space="preserve"> </w:t>
      </w:r>
      <w:hyperlink r:id="rId9" w:history="1">
        <w:r>
          <w:rPr>
            <w:rStyle w:val="Hyperlink"/>
            <w:b/>
            <w:i w:val="0"/>
            <w:strike w:val="0"/>
            <w:color w:val="467886"/>
            <w:u w:val="single"/>
          </w:rPr>
          <w:t>Shipley v. First Federal Sav. and Loan Ass'n of Delaware</w:t>
        </w:r>
      </w:hyperlink>
    </w:p>
    <w:p w:rsidR="000911FB" w:rsidRPr="00C67A9D" w:rsidP="000911FB" w14:textId="43CA2655">
      <w:pPr>
        <w:pStyle w:val="Report-Metadata"/>
        <w:rPr>
          <w:b w:val="0"/>
          <w:bCs w:val="0"/>
        </w:rPr>
      </w:pPr>
      <w:r>
        <w:rPr>
          <w:b/>
          <w:i w:val="0"/>
          <w:strike w:val="0"/>
        </w:rPr>
        <w:t>United States District Court, D. Delaware.</w:t>
      </w:r>
      <w:r w:rsidRPr="00C67A9D">
        <w:rPr>
          <w:b w:val="0"/>
          <w:bCs w:val="0"/>
        </w:rPr>
        <w:t xml:space="preserve">   •   </w:t>
      </w:r>
      <w:r>
        <w:rPr>
          <w:b/>
          <w:i w:val="0"/>
          <w:strike w:val="0"/>
        </w:rPr>
        <w:t>August 26, 1985</w:t>
      </w:r>
      <w:r w:rsidRPr="00C67A9D">
        <w:rPr>
          <w:b w:val="0"/>
          <w:bCs w:val="0"/>
        </w:rPr>
        <w:t xml:space="preserve">   •   </w:t>
      </w:r>
      <w:r>
        <w:rPr>
          <w:b/>
          <w:i w:val="0"/>
          <w:strike w:val="0"/>
        </w:rPr>
        <w:t>619 F.Supp. 421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Requiring effort to provide actual notice by mail prior to default judgment in mortgage proceedings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hyperlink r:id="rId10" w:history="1">
        <w:r>
          <w:pict>
            <v:shape id="_x0000_i1035" type="#_x0000_t75" alt="KeyCite Yellow Flag" style="width:16pt;height:16pt">
              <v:imagedata r:id="rId5" o:title=""/>
            </v:shape>
          </w:pict>
        </w:r>
      </w:hyperlink>
      <w:r>
        <w:t xml:space="preserve"> </w:t>
      </w:r>
      <w:hyperlink r:id="rId11" w:history="1">
        <w:r>
          <w:rPr>
            <w:rStyle w:val="Hyperlink"/>
            <w:b/>
            <w:i w:val="0"/>
            <w:strike w:val="0"/>
            <w:color w:val="467886"/>
            <w:u w:val="single"/>
          </w:rPr>
          <w:t>US Bank Nat. Ass'n v. Guillaume</w:t>
        </w:r>
      </w:hyperlink>
    </w:p>
    <w:p w:rsidR="000911FB" w:rsidRPr="00C67A9D" w:rsidP="000911FB" w14:textId="43CA2655">
      <w:pPr>
        <w:pStyle w:val="Report-Metadata"/>
        <w:rPr>
          <w:b w:val="0"/>
          <w:bCs w:val="0"/>
        </w:rPr>
      </w:pPr>
      <w:r>
        <w:rPr>
          <w:b/>
          <w:i w:val="0"/>
          <w:strike w:val="0"/>
        </w:rPr>
        <w:t>Supreme Court of New Jersey.</w:t>
      </w:r>
      <w:r w:rsidRPr="00C67A9D">
        <w:rPr>
          <w:b w:val="0"/>
          <w:bCs w:val="0"/>
        </w:rPr>
        <w:t xml:space="preserve">   •   </w:t>
      </w:r>
      <w:r>
        <w:rPr>
          <w:b/>
          <w:i w:val="0"/>
          <w:strike w:val="0"/>
        </w:rPr>
        <w:t>February 27, 2012</w:t>
      </w:r>
      <w:r w:rsidRPr="00C67A9D">
        <w:rPr>
          <w:b w:val="0"/>
          <w:bCs w:val="0"/>
        </w:rPr>
        <w:t xml:space="preserve">   •   </w:t>
      </w:r>
      <w:r>
        <w:rPr>
          <w:b/>
          <w:i w:val="0"/>
          <w:strike w:val="0"/>
        </w:rPr>
        <w:t>209 N.J. 449</w:t>
      </w:r>
      <w:r w:rsidRPr="00C67A9D">
        <w:rPr>
          <w:b w:val="0"/>
          <w:bCs w:val="0"/>
        </w:rPr>
        <w:t xml:space="preserve">   •   </w:t>
      </w:r>
      <w:r>
        <w:rPr>
          <w:b/>
          <w:i w:val="0"/>
          <w:strike w:val="0"/>
        </w:rPr>
        <w:t>38 A.3d 570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Emphasizing the Fair Foreclosure Act's objective of providing clear notice to homeowners and requiring substantial compliance with notice requirements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...A. The notice of intention is a central component of the FFA, serving the important legislative objective of providing timely and clear notice to homeowners that immediate action is necessary to forestall foreclosure. N.J.S.A. 2A:50-56(a) requires lenders contemplating foreclosure to give defaulting homeowners "notice of such intention at least 30 days in advance of such action as provided in this section." The Legislature required that the notice "be in writing, sent to the debtor by registered or certified mail, return receipt requested, at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r>
        <w:t xml:space="preserve"> </w:t>
      </w:r>
      <w:hyperlink r:id="rId12" w:history="1">
        <w:r>
          <w:rPr>
            <w:rStyle w:val="Hyperlink"/>
            <w:b/>
            <w:i w:val="0"/>
            <w:strike w:val="0"/>
            <w:color w:val="467886"/>
            <w:u w:val="single"/>
          </w:rPr>
          <w:t>EMC Mortg. Corp. v. Chaudhri</w:t>
        </w:r>
      </w:hyperlink>
    </w:p>
    <w:p w:rsidR="000911FB" w:rsidRPr="00C67A9D" w:rsidP="000911FB" w14:textId="43CA2655">
      <w:pPr>
        <w:pStyle w:val="Report-Metadata"/>
        <w:rPr>
          <w:b w:val="0"/>
          <w:bCs w:val="0"/>
        </w:rPr>
      </w:pPr>
      <w:r>
        <w:rPr>
          <w:b/>
          <w:i w:val="0"/>
          <w:strike w:val="0"/>
        </w:rPr>
        <w:t>Superior Court of New Jersey, Appellate Division.</w:t>
      </w:r>
      <w:r w:rsidRPr="00C67A9D">
        <w:rPr>
          <w:b w:val="0"/>
          <w:bCs w:val="0"/>
        </w:rPr>
        <w:t xml:space="preserve">   •   </w:t>
      </w:r>
      <w:r>
        <w:rPr>
          <w:b/>
          <w:i w:val="0"/>
          <w:strike w:val="0"/>
        </w:rPr>
        <w:t>April 21, 2008</w:t>
      </w:r>
      <w:r w:rsidRPr="00C67A9D">
        <w:rPr>
          <w:b w:val="0"/>
          <w:bCs w:val="0"/>
        </w:rPr>
        <w:t xml:space="preserve">   •   </w:t>
      </w:r>
      <w:r>
        <w:rPr>
          <w:b/>
          <w:i w:val="0"/>
          <w:strike w:val="0"/>
        </w:rPr>
        <w:t>400 N.J.Super. 126</w:t>
      </w:r>
      <w:r w:rsidRPr="00C67A9D">
        <w:rPr>
          <w:b w:val="0"/>
          <w:bCs w:val="0"/>
        </w:rPr>
        <w:t xml:space="preserve">   •   </w:t>
      </w:r>
      <w:r>
        <w:rPr>
          <w:b/>
          <w:i w:val="0"/>
          <w:strike w:val="0"/>
        </w:rPr>
        <w:t>946 A.2d 578</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Fair Foreclosure Act notice provisions ensure homeowners opportunity to cure defaults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6</w:t>
      </w:r>
      <w:r w:rsidRPr="00755B14">
        <w:rPr>
          <w:b/>
          <w:bCs/>
        </w:rPr>
        <w:t>.</w:t>
      </w:r>
      <w:r>
        <w:t xml:space="preserve"> </w:t>
      </w:r>
      <w:r>
        <w:t xml:space="preserve"> </w:t>
      </w:r>
      <w:hyperlink r:id="rId13" w:history="1">
        <w:r>
          <w:rPr>
            <w:rStyle w:val="Hyperlink"/>
            <w:b/>
            <w:i w:val="0"/>
            <w:strike w:val="0"/>
            <w:color w:val="467886"/>
            <w:u w:val="single"/>
          </w:rPr>
          <w:t>Edison Board of Education v. Zoning Board of Adjustment of the Township of Edison</w:t>
        </w:r>
      </w:hyperlink>
    </w:p>
    <w:p w:rsidR="000911FB" w:rsidRPr="00C67A9D" w:rsidP="000911FB" w14:textId="43CA2655">
      <w:pPr>
        <w:pStyle w:val="Report-Metadata"/>
        <w:rPr>
          <w:b w:val="0"/>
          <w:bCs w:val="0"/>
        </w:rPr>
      </w:pPr>
      <w:r>
        <w:rPr>
          <w:b/>
          <w:i w:val="0"/>
          <w:strike w:val="0"/>
        </w:rPr>
        <w:t>Superior Court of New Jersey, Appellate Division.</w:t>
      </w:r>
      <w:r w:rsidRPr="00C67A9D">
        <w:rPr>
          <w:b w:val="0"/>
          <w:bCs w:val="0"/>
        </w:rPr>
        <w:t xml:space="preserve">   •   </w:t>
      </w:r>
      <w:r>
        <w:rPr>
          <w:b/>
          <w:i w:val="0"/>
          <w:strike w:val="0"/>
        </w:rPr>
        <w:t>July 22, 2020</w:t>
      </w:r>
      <w:r w:rsidRPr="00C67A9D">
        <w:rPr>
          <w:b w:val="0"/>
          <w:bCs w:val="0"/>
        </w:rPr>
        <w:t xml:space="preserve">   •   </w:t>
      </w:r>
      <w:r>
        <w:rPr>
          <w:b/>
          <w:i w:val="0"/>
          <w:strike w:val="0"/>
        </w:rPr>
        <w:t>464 N.J.Super. 298</w:t>
      </w:r>
      <w:r w:rsidRPr="00C67A9D">
        <w:rPr>
          <w:b w:val="0"/>
          <w:bCs w:val="0"/>
        </w:rPr>
        <w:t xml:space="preserve">   •   </w:t>
      </w:r>
      <w:r>
        <w:rPr>
          <w:b/>
          <w:i w:val="0"/>
          <w:strike w:val="0"/>
        </w:rPr>
        <w:t>235 A.3d 249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electronic notice via internet is not adequate statutory notice under the Open Public Meetings Act</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...Electronic notice via the internet, permissible pursuant to the statute for conducting meetings by electronic means during periods of emergency, is not an adequate statutory notice under the Open Public Meetings Act (OPMA). N.J. Stat. Ann. SS 10:4-8(d), 10:4-9.1....</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7</w:t>
      </w:r>
      <w:r w:rsidRPr="00755B14">
        <w:rPr>
          <w:b/>
          <w:bCs/>
        </w:rPr>
        <w:t>.</w:t>
      </w:r>
      <w:r>
        <w:t xml:space="preserve"> </w:t>
      </w:r>
      <w:r>
        <w:t xml:space="preserve"> </w:t>
      </w:r>
      <w:hyperlink r:id="rId14" w:history="1">
        <w:r>
          <w:rPr>
            <w:rStyle w:val="Hyperlink"/>
            <w:b/>
            <w:i w:val="0"/>
            <w:strike w:val="0"/>
            <w:color w:val="467886"/>
            <w:u w:val="single"/>
          </w:rPr>
          <w:t>Continental Bank &amp; Trust Co. of New York v. Fulton Realty Co.</w:t>
        </w:r>
      </w:hyperlink>
    </w:p>
    <w:p w:rsidR="000911FB" w:rsidRPr="00C67A9D" w:rsidP="000911FB" w14:textId="43CA2655">
      <w:pPr>
        <w:pStyle w:val="Report-Metadata"/>
        <w:rPr>
          <w:b w:val="0"/>
          <w:bCs w:val="0"/>
        </w:rPr>
      </w:pPr>
      <w:r>
        <w:rPr>
          <w:b/>
          <w:i w:val="0"/>
          <w:strike w:val="0"/>
        </w:rPr>
        <w:t>Court of Chancery of New Jersey.</w:t>
      </w:r>
      <w:r w:rsidRPr="00C67A9D">
        <w:rPr>
          <w:b w:val="0"/>
          <w:bCs w:val="0"/>
        </w:rPr>
        <w:t xml:space="preserve">   •   </w:t>
      </w:r>
      <w:r>
        <w:rPr>
          <w:b/>
          <w:i w:val="0"/>
          <w:strike w:val="0"/>
        </w:rPr>
        <w:t>October 21, 1932</w:t>
      </w:r>
      <w:r w:rsidRPr="00C67A9D">
        <w:rPr>
          <w:b w:val="0"/>
          <w:bCs w:val="0"/>
        </w:rPr>
        <w:t xml:space="preserve">   •   </w:t>
      </w:r>
      <w:r>
        <w:rPr>
          <w:b/>
          <w:i w:val="0"/>
          <w:strike w:val="0"/>
        </w:rPr>
        <w:t>10 N.J. Misc. 1105</w:t>
      </w:r>
      <w:r w:rsidRPr="00C67A9D">
        <w:rPr>
          <w:b w:val="0"/>
          <w:bCs w:val="0"/>
        </w:rPr>
        <w:t xml:space="preserve">   •   </w:t>
      </w:r>
      <w:r>
        <w:rPr>
          <w:b/>
          <w:i w:val="0"/>
          <w:strike w:val="0"/>
        </w:rPr>
        <w:t>162 A. 560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notice addressed to wrong party is inadequate even when recipient has actual knowledge of default</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...Notice of default under mortgage addressed to mortgagor which fell into hands of owner of property was not notice to owner....</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8</w:t>
      </w:r>
      <w:r w:rsidRPr="00755B14">
        <w:rPr>
          <w:b/>
          <w:bCs/>
        </w:rPr>
        <w:t>.</w:t>
      </w:r>
      <w:r>
        <w:t xml:space="preserve"> </w:t>
      </w:r>
      <w:r>
        <w:t xml:space="preserve"> </w:t>
      </w:r>
      <w:hyperlink r:id="rId15" w:history="1">
        <w:r>
          <w:rPr>
            <w:rStyle w:val="Hyperlink"/>
            <w:b/>
            <w:i w:val="0"/>
            <w:strike w:val="0"/>
            <w:color w:val="467886"/>
            <w:u w:val="single"/>
          </w:rPr>
          <w:t>§ 1024.35 Error resolution procedures.</w:t>
        </w:r>
      </w:hyperlink>
    </w:p>
    <w:p w:rsidR="000911FB" w:rsidRPr="00C67A9D" w:rsidP="000911FB" w14:textId="43CA2655">
      <w:pPr>
        <w:pStyle w:val="Report-Metadata"/>
        <w:rPr>
          <w:b w:val="0"/>
          <w:bCs w:val="0"/>
        </w:rPr>
      </w:pPr>
      <w:r>
        <w:rPr>
          <w:b/>
          <w:i w:val="0"/>
          <w:strike w:val="0"/>
        </w:rPr>
        <w:t>12 C.F.R. § 1024.35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error resolution procedures for servicer response to borrower notices of error</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9</w:t>
      </w:r>
      <w:r w:rsidRPr="00755B14">
        <w:rPr>
          <w:b/>
          <w:bCs/>
        </w:rPr>
        <w:t>.</w:t>
      </w:r>
      <w:r>
        <w:t xml:space="preserve"> </w:t>
      </w:r>
      <w:r>
        <w:t xml:space="preserve"> </w:t>
      </w:r>
      <w:hyperlink r:id="rId16" w:history="1">
        <w:r>
          <w:rPr>
            <w:rStyle w:val="Hyperlink"/>
            <w:b/>
            <w:i w:val="0"/>
            <w:strike w:val="0"/>
            <w:color w:val="467886"/>
            <w:u w:val="single"/>
          </w:rPr>
          <w:t>§ 1024.36 Requests for information.</w:t>
        </w:r>
      </w:hyperlink>
    </w:p>
    <w:p w:rsidR="000911FB" w:rsidRPr="00C67A9D" w:rsidP="000911FB" w14:textId="43CA2655">
      <w:pPr>
        <w:pStyle w:val="Report-Metadata"/>
        <w:rPr>
          <w:b w:val="0"/>
          <w:bCs w:val="0"/>
        </w:rPr>
      </w:pPr>
      <w:r>
        <w:rPr>
          <w:b/>
          <w:i w:val="0"/>
          <w:strike w:val="0"/>
        </w:rPr>
        <w:t>12 C.F.R. § 1024.36</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Governing servicer response to borrower requests for information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10</w:t>
      </w:r>
      <w:r w:rsidRPr="00755B14">
        <w:rPr>
          <w:b/>
          <w:bCs/>
        </w:rPr>
        <w:t>.</w:t>
      </w:r>
      <w:r>
        <w:t xml:space="preserve"> </w:t>
      </w:r>
      <w:r>
        <w:t xml:space="preserve"> </w:t>
      </w:r>
      <w:hyperlink r:id="rId17" w:history="1">
        <w:r>
          <w:rPr>
            <w:rStyle w:val="Hyperlink"/>
            <w:b/>
            <w:i w:val="0"/>
            <w:strike w:val="0"/>
            <w:color w:val="467886"/>
            <w:u w:val="single"/>
          </w:rPr>
          <w:t>Compliance Bulletin and Policy Guidance: Mortgage Servicing Transfers</w:t>
        </w:r>
      </w:hyperlink>
    </w:p>
    <w:p w:rsidR="000911FB" w:rsidRPr="00C67A9D" w:rsidP="000911FB" w14:textId="43CA2655">
      <w:pPr>
        <w:pStyle w:val="Report-Metadata"/>
        <w:rPr>
          <w:b w:val="0"/>
          <w:bCs w:val="0"/>
        </w:rPr>
      </w:pPr>
      <w:r>
        <w:rPr>
          <w:b/>
          <w:i w:val="0"/>
          <w:strike w:val="0"/>
        </w:rPr>
        <w:t>C.F.P.B</w:t>
      </w:r>
      <w:r w:rsidRPr="00C67A9D">
        <w:rPr>
          <w:b w:val="0"/>
          <w:bCs w:val="0"/>
        </w:rPr>
        <w:t xml:space="preserve">   •   </w:t>
      </w:r>
      <w:r>
        <w:rPr>
          <w:b/>
          <w:i w:val="0"/>
          <w:strike w:val="0"/>
        </w:rPr>
        <w:t>August 19, 2014</w:t>
      </w:r>
      <w:r w:rsidRPr="00C67A9D">
        <w:rPr>
          <w:b w:val="0"/>
          <w:bCs w:val="0"/>
        </w:rPr>
        <w:t xml:space="preserve">   •   </w:t>
      </w:r>
      <w:r>
        <w:rPr>
          <w:b/>
          <w:i w:val="0"/>
          <w:strike w:val="0"/>
        </w:rPr>
        <w:t>08192014 CFPBGUIDANCE</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...6 Servicers must maintain policies and procedures that are reasonably designed to achieve certain objectives related to personnel assigned to assist delinquent borrowers.6• A transferee servicer's policies and procedures must be reasonably designed to achieve these objectives when delinquent loans are transferred. In future examinations, CFPB examiners may consider the following policies and procedures, among others, as contributing to meeting this requirement:6 o Identifying which borrowers are 45 days or more delinquent at transfer and ensuring</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11</w:t>
      </w:r>
      <w:r w:rsidRPr="00755B14">
        <w:rPr>
          <w:b/>
          <w:bCs/>
        </w:rPr>
        <w:t>.</w:t>
      </w:r>
      <w:r>
        <w:t xml:space="preserve"> </w:t>
      </w:r>
      <w:r>
        <w:t xml:space="preserve"> </w:t>
      </w:r>
      <w:hyperlink r:id="rId18" w:history="1">
        <w:r>
          <w:rPr>
            <w:rStyle w:val="Hyperlink"/>
            <w:b/>
            <w:i w:val="0"/>
            <w:strike w:val="0"/>
            <w:color w:val="467886"/>
            <w:u w:val="single"/>
          </w:rPr>
          <w:t>Subject Updates to Servicing, Loss Mitigation, and Claims</w:t>
        </w:r>
      </w:hyperlink>
    </w:p>
    <w:p w:rsidR="000911FB" w:rsidRPr="00C67A9D" w:rsidP="000911FB" w14:textId="43CA2655">
      <w:pPr>
        <w:pStyle w:val="Report-Metadata"/>
        <w:rPr>
          <w:b w:val="0"/>
          <w:bCs w:val="0"/>
        </w:rPr>
      </w:pPr>
      <w:r>
        <w:rPr>
          <w:b/>
          <w:i w:val="0"/>
          <w:strike w:val="0"/>
        </w:rPr>
        <w:t>HUDML</w:t>
      </w:r>
      <w:r w:rsidRPr="00C67A9D">
        <w:rPr>
          <w:b w:val="0"/>
          <w:bCs w:val="0"/>
        </w:rPr>
        <w:t xml:space="preserve">   •   </w:t>
      </w:r>
      <w:r>
        <w:rPr>
          <w:b/>
          <w:i w:val="0"/>
          <w:strike w:val="0"/>
        </w:rPr>
        <w:t>January 16, 2025</w:t>
      </w:r>
      <w:r w:rsidRPr="00C67A9D">
        <w:rPr>
          <w:b w:val="0"/>
          <w:bCs w:val="0"/>
        </w:rPr>
        <w:t xml:space="preserve">   •   </w:t>
      </w:r>
      <w:r>
        <w:rPr>
          <w:b/>
          <w:i w:val="0"/>
          <w:strike w:val="0"/>
        </w:rPr>
        <w:t>Mortgagee Letter 2025-06</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...30 The Mortgagee may use mail, certified mail, in person, any acceptable method of electronic communication, or telephone contact attempts to establish contact with the Borrower.30 Acceptable methods of electronic communication that Mortgagees may use to contact the Borrower include:30• Voice over Internet Protocol (VoIP) or other technology that allows voice calls;30• interactive virtual communication methods;30• email;30• text messages;30• secure web portals (such as online account management tools accessible by Borrowers); and30• other reliable</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...29 The Mortgagee must determine the Borrower's ability to make monthly Mortgage Payments and take loss mitigation action or commence foreclosure, if loss mitigation is not feasible, within six months of the date of Default, or within such additional time approved by HUD via Extensions and Variances Automated Requests System (EVARS).29 The Mortgagee must notify each Borrower, co-signer, and any other party requiring notice by state law that the Mortgage is in Default....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12</w:t>
      </w:r>
      <w:r w:rsidRPr="00755B14">
        <w:rPr>
          <w:b/>
          <w:bCs/>
        </w:rPr>
        <w:t>.</w:t>
      </w:r>
      <w:r>
        <w:t xml:space="preserve"> </w:t>
      </w:r>
      <w:r>
        <w:t xml:space="preserve"> </w:t>
      </w:r>
      <w:hyperlink r:id="rId19" w:history="1">
        <w:r>
          <w:rPr>
            <w:rStyle w:val="Hyperlink"/>
            <w:b/>
            <w:i w:val="0"/>
            <w:strike w:val="0"/>
            <w:color w:val="467886"/>
            <w:u w:val="single"/>
          </w:rPr>
          <w:t>NOVAD Management Consulting, LLC</w:t>
        </w:r>
      </w:hyperlink>
    </w:p>
    <w:p w:rsidR="000911FB" w:rsidRPr="00C67A9D" w:rsidP="000911FB" w14:textId="43CA2655">
      <w:pPr>
        <w:pStyle w:val="Report-Metadata"/>
        <w:rPr>
          <w:b w:val="0"/>
          <w:bCs w:val="0"/>
        </w:rPr>
      </w:pPr>
      <w:r>
        <w:rPr>
          <w:b/>
          <w:i w:val="0"/>
          <w:strike w:val="0"/>
        </w:rPr>
        <w:t>C.F.P.B</w:t>
      </w:r>
      <w:r w:rsidRPr="00C67A9D">
        <w:rPr>
          <w:b w:val="0"/>
          <w:bCs w:val="0"/>
        </w:rPr>
        <w:t xml:space="preserve">   •   </w:t>
      </w:r>
      <w:r>
        <w:rPr>
          <w:b/>
          <w:i w:val="0"/>
          <w:strike w:val="0"/>
        </w:rPr>
        <w:t>June 18, 2024</w:t>
      </w:r>
      <w:r w:rsidRPr="00C67A9D">
        <w:rPr>
          <w:b w:val="0"/>
          <w:bCs w:val="0"/>
        </w:rPr>
        <w:t xml:space="preserve">   •   </w:t>
      </w:r>
      <w:r>
        <w:rPr>
          <w:b/>
          <w:i w:val="0"/>
          <w:strike w:val="0"/>
        </w:rPr>
        <w:t>2024 CFPBCO 0004</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...318. The CFPA prohibits “unfair” acts or practices. 12 U.S.C. § 5536(a)(1)(B). An act or practice is unfair if it causes or is likely to cause consumers substantial injury that is not reasonably avoidable and is not outweighed by countervailing benefits to consumers or to competition. 12 U.S.C. § 5531(c)(1).319. During the Relevant Period, in connection with providing mortgage servicing, Respondent frequently failed to respond to consumers' inquiries and complaints related to their reverse mortgages.320. Respondent's failure to respond to consumers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13</w:t>
      </w:r>
      <w:r w:rsidRPr="00755B14">
        <w:rPr>
          <w:b/>
          <w:bCs/>
        </w:rPr>
        <w:t>.</w:t>
      </w:r>
      <w:r>
        <w:t xml:space="preserve"> </w:t>
      </w:r>
      <w:r>
        <w:t xml:space="preserve"> </w:t>
      </w:r>
      <w:hyperlink r:id="rId20" w:history="1">
        <w:r>
          <w:rPr>
            <w:rStyle w:val="Hyperlink"/>
            <w:b/>
            <w:i w:val="0"/>
            <w:strike w:val="0"/>
            <w:color w:val="467886"/>
            <w:u w:val="single"/>
          </w:rPr>
          <w:t>Sutherland Global Services, Inc., Sutherland Mortgage Services, Inc., and Sutherland Government Solutions, Inc.</w:t>
        </w:r>
      </w:hyperlink>
    </w:p>
    <w:p w:rsidR="000911FB" w:rsidRPr="00C67A9D" w:rsidP="000911FB" w14:textId="43CA2655">
      <w:pPr>
        <w:pStyle w:val="Report-Metadata"/>
        <w:rPr>
          <w:b w:val="0"/>
          <w:bCs w:val="0"/>
        </w:rPr>
      </w:pPr>
      <w:r>
        <w:rPr>
          <w:b/>
          <w:i w:val="0"/>
          <w:strike w:val="0"/>
        </w:rPr>
        <w:t>C.F.P.B</w:t>
      </w:r>
      <w:r w:rsidRPr="00C67A9D">
        <w:rPr>
          <w:b w:val="0"/>
          <w:bCs w:val="0"/>
        </w:rPr>
        <w:t xml:space="preserve">   •   </w:t>
      </w:r>
      <w:r>
        <w:rPr>
          <w:b/>
          <w:i w:val="0"/>
          <w:strike w:val="0"/>
        </w:rPr>
        <w:t>June 18, 2024</w:t>
      </w:r>
      <w:r w:rsidRPr="00C67A9D">
        <w:rPr>
          <w:b w:val="0"/>
          <w:bCs w:val="0"/>
        </w:rPr>
        <w:t xml:space="preserve">   •   </w:t>
      </w:r>
      <w:r>
        <w:rPr>
          <w:b/>
          <w:i w:val="0"/>
          <w:strike w:val="0"/>
        </w:rPr>
        <w:t>2024 CFPBCO 0005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...317. The CFPA prohibits “unfair” acts or practices. 12 U.S.C. § 5536(a)(1)(B). An act or practice is unfair if it causes or is likely to cause consumers substantial injury that is not reasonably avoidable and is not outweighed by countervailing benefits to consumers or to competition. 12 U.S.C. § 5531(c)(1).318. During the Relevant Period, in connection with providing mortgage servicing, Respondents frequently failed to respond to consumers' inquiries and complaints related to their reverse mortgages.419. Respondents' failure to respond to consumers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14</w:t>
      </w:r>
      <w:r w:rsidRPr="00755B14">
        <w:rPr>
          <w:b/>
          <w:bCs/>
        </w:rPr>
        <w:t>.</w:t>
      </w:r>
      <w:r>
        <w:t xml:space="preserve"> </w:t>
      </w:r>
      <w:r>
        <w:t xml:space="preserve"> </w:t>
      </w:r>
      <w:hyperlink r:id="rId21" w:history="1">
        <w:r>
          <w:rPr>
            <w:rStyle w:val="Hyperlink"/>
            <w:b/>
            <w:i w:val="0"/>
            <w:strike w:val="0"/>
            <w:color w:val="467886"/>
            <w:u w:val="single"/>
          </w:rPr>
          <w:t>Litigation Concerning Mortgage Foreclosures</w:t>
        </w:r>
      </w:hyperlink>
    </w:p>
    <w:p w:rsidR="000911FB" w:rsidRPr="00C67A9D" w:rsidP="000911FB" w14:textId="43CA2655">
      <w:pPr>
        <w:pStyle w:val="Report-Metadata"/>
        <w:rPr>
          <w:b w:val="0"/>
          <w:bCs w:val="0"/>
        </w:rPr>
      </w:pPr>
      <w:r>
        <w:rPr>
          <w:b/>
          <w:i w:val="0"/>
          <w:strike w:val="0"/>
        </w:rPr>
        <w:t>American Jurisprudence Trials</w:t>
      </w:r>
      <w:r w:rsidRPr="00C67A9D">
        <w:rPr>
          <w:b w:val="0"/>
          <w:bCs w:val="0"/>
        </w:rPr>
        <w:t xml:space="preserve">   •   </w:t>
      </w:r>
      <w:r>
        <w:rPr>
          <w:b/>
          <w:i w:val="0"/>
          <w:strike w:val="0"/>
        </w:rPr>
        <w:t>125 AMJUR TRIALS 541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4</w:t>
            </w:r>
            <w:r>
              <w:rPr>
                <w:rFonts w:ascii="Arial" w:eastAsia="Times New Roman" w:hAnsi="Arial" w:cs="Arial"/>
                <w:b w:val="0"/>
                <w:i w:val="0"/>
                <w:strike w:val="0"/>
                <w:color w:val="1D1D1D"/>
              </w:rPr>
              <w:br/>
              <w:t>...Even if loan subject to foreclosure was "home loan" within the meaning statute imposing additional notice requirements for residential foreclosure actions, assignee of mortgage submitted evidence sufficient to establish, prima facie, that it mailed notice to mortgagor in compliance with statute, on motion for summary judgment in foreclosure action; vice president for loan servicer submitted affidavit asserting that servicer mailed a notice of default to mortgagor at subject property and his residence, and that servicer also mailed statutory</w:t>
              <w:br/>
              <w:br/>
            </w:r>
            <w:r>
              <w:rPr>
                <w:rFonts w:ascii="Arial" w:eastAsia="Times New Roman" w:hAnsi="Arial" w:cs="Arial"/>
                <w:b/>
                <w:i w:val="0"/>
                <w:strike w:val="0"/>
                <w:color w:val="1D1D1D"/>
              </w:rPr>
              <w:t>Supporting section 2 of 4</w:t>
            </w:r>
            <w:r>
              <w:rPr>
                <w:rFonts w:ascii="Arial" w:eastAsia="Times New Roman" w:hAnsi="Arial" w:cs="Arial"/>
                <w:b w:val="0"/>
                <w:i w:val="0"/>
                <w:strike w:val="0"/>
                <w:color w:val="1D1D1D"/>
              </w:rPr>
              <w:br/>
              <w:t>...Under Texas law, loan servicer was in compliance with deed of trust provision requiring servicer to give notice to mortgagors prior to acceleration following mortgagors' breach of any covenant or agreement in trust; notice of default that was sent to mortgagors specified that mortgagors were in default, that servicer had to receive specified amount in order to for mortgagors to cure, that mortgage payments would be accelerated and foreclosure proceedings initiated if mortgagors failed to cure default, and that mortgagors might have right to</w:t>
              <w:br/>
              <w:br/>
            </w:r>
            <w:r>
              <w:rPr>
                <w:rFonts w:ascii="Arial" w:eastAsia="Times New Roman" w:hAnsi="Arial" w:cs="Arial"/>
                <w:b/>
                <w:i w:val="0"/>
                <w:strike w:val="0"/>
                <w:color w:val="1D1D1D"/>
              </w:rPr>
              <w:t>Supporting section 3 of 4</w:t>
            </w:r>
            <w:r>
              <w:rPr>
                <w:rFonts w:ascii="Arial" w:eastAsia="Times New Roman" w:hAnsi="Arial" w:cs="Arial"/>
                <w:b w:val="0"/>
                <w:i w:val="0"/>
                <w:strike w:val="0"/>
                <w:color w:val="1D1D1D"/>
              </w:rPr>
              <w:br/>
              <w:t>...Summary judgment affidavit of default service officer of mortgagee's loan servicer was sufficient to establish mortgagee's strict compliance with required prior notices, in mortgagee's action to foreclose mortgage, where service officer set forth loan servicer's standard business practice with regard to sending 90-day notices to borrowers, established foundation for admission of business records, and annexed copies of business records including copies of notice sent to borrower, certified mail receipts with tracking records showing date of delivery,</w:t>
              <w:br/>
              <w:br/>
            </w:r>
            <w:r>
              <w:rPr>
                <w:rFonts w:ascii="Arial" w:eastAsia="Times New Roman" w:hAnsi="Arial" w:cs="Arial"/>
                <w:b/>
                <w:i w:val="0"/>
                <w:strike w:val="0"/>
                <w:color w:val="1D1D1D"/>
              </w:rPr>
              <w:t>Supporting section 4 of 4</w:t>
            </w:r>
            <w:r>
              <w:rPr>
                <w:rFonts w:ascii="Arial" w:eastAsia="Times New Roman" w:hAnsi="Arial" w:cs="Arial"/>
                <w:b w:val="0"/>
                <w:i w:val="0"/>
                <w:strike w:val="0"/>
                <w:color w:val="1D1D1D"/>
              </w:rPr>
              <w:br/>
              <w:t>...Under New Jersey's entire controversy doctrine, borrowers were barred from raising federal claims alleging that mortgage loan servicer's failure to abide by federal regulations preventing mortgage servicers from moving for foreclosure sale if homeowners had applied for loss mitigation to modify their loan and requiring servicers to correct or respond to errors brought to their attention caused judgment of foreclosure to be entered against borrowers in separate state court proceeding; entire controversy doctrine required adjudication of legal</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15</w:t>
      </w:r>
      <w:r w:rsidRPr="00755B14">
        <w:rPr>
          <w:b/>
          <w:bCs/>
        </w:rPr>
        <w:t>.</w:t>
      </w:r>
      <w:r>
        <w:t xml:space="preserve"> </w:t>
      </w:r>
      <w:r>
        <w:t xml:space="preserve"> </w:t>
      </w:r>
      <w:hyperlink r:id="rId22" w:history="1">
        <w:r>
          <w:rPr>
            <w:rStyle w:val="Hyperlink"/>
            <w:b/>
            <w:i w:val="0"/>
            <w:strike w:val="0"/>
            <w:color w:val="467886"/>
            <w:u w:val="single"/>
          </w:rPr>
          <w:t>Litigation of Real Estate Settlement Procedures Act (RESPA), 12 U.S.C.A. §§ 2601 et seq.</w:t>
        </w:r>
      </w:hyperlink>
    </w:p>
    <w:p w:rsidR="000911FB" w:rsidRPr="00C67A9D" w:rsidP="000911FB" w14:textId="43CA2655">
      <w:pPr>
        <w:pStyle w:val="Report-Metadata"/>
        <w:rPr>
          <w:b w:val="0"/>
          <w:bCs w:val="0"/>
        </w:rPr>
      </w:pPr>
      <w:r>
        <w:rPr>
          <w:b/>
          <w:i w:val="0"/>
          <w:strike w:val="0"/>
        </w:rPr>
        <w:t>American Jurisprudence Trials</w:t>
      </w:r>
      <w:r w:rsidRPr="00C67A9D">
        <w:rPr>
          <w:b w:val="0"/>
          <w:bCs w:val="0"/>
        </w:rPr>
        <w:t xml:space="preserve">   •   </w:t>
      </w:r>
      <w:r>
        <w:rPr>
          <w:b/>
          <w:i w:val="0"/>
          <w:strike w:val="0"/>
        </w:rPr>
        <w:t>171 AMJUR TRIALS 79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...If a loan servicer receives a QWR from a borrower for information relating to the loan servicing, the servicer must provide a written acknowledgement of receipt within five business days unless the action requested is taken within that period.[6] There is a rebuttable presumption that an item properly mailed was received by the addressee.[7] Denial of receipt is insufficient to rebut the presumption.[8] However, direct testimony of nonreceipt, in combination with evidence that standardized procedures are used in processing QWRs, is sufficient</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...Section 2605 of RESPA also requires that loan servicers of federally related mortgage loans respond to borrower inquiries in the form of qualified written requests (QWRs).[1] The QWR is a written correspondence, other than notice on a payment coupon or other payment medium supplied by the loan servicer, that includes, or enables the servicer to identify, the borrower's name and account; and includes a statement addressing the reasons why the borrower believes the account is in error or provides sufficient detail to the servicer regarding other</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pPr>
        <w:pStyle w:val="Report-SubheadLvl1"/>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sz w:val="26"/>
        </w:rPr>
        <w:t>Additional sources</w: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These sources are not cited in your report, but can provide context that may be helpful.</w:t>
      </w:r>
    </w:p>
    <w:p w:rsidR="000911FB" w:rsidRPr="00E5063B" w:rsidP="000911FB" w14:paraId="5C581A35" w14:textId="77777777">
      <w:pPr>
        <w:spacing w:before="113" w:after="113"/>
        <w:rPr>
          <w:rFonts w:cs="Arial"/>
          <w:b/>
          <w:sz w:val="16"/>
        </w:rPr>
      </w:pPr>
    </w:p>
    <w:p w:rsidR="000911FB" w:rsidP="000911FB" w14:paraId="3AF2579E" w14:textId="03B1B35D">
      <w:pPr>
        <w:pStyle w:val="Report-Body"/>
      </w:pPr>
      <w:r>
        <w:rPr>
          <w:b/>
          <w:i w:val="0"/>
          <w:strike w:val="0"/>
        </w:rPr>
        <w:t>16</w:t>
      </w:r>
      <w:r w:rsidRPr="00755B14">
        <w:rPr>
          <w:b/>
          <w:bCs/>
        </w:rPr>
        <w:t>.</w:t>
      </w:r>
      <w:r w:rsidRPr="00E5063B">
        <w:t xml:space="preserve"> </w:t>
      </w:r>
      <w:r>
        <w:t xml:space="preserve"> </w:t>
      </w:r>
      <w:hyperlink r:id="rId23" w:history="1">
        <w:r>
          <w:rPr>
            <w:rStyle w:val="Hyperlink"/>
            <w:b/>
            <w:i w:val="0"/>
            <w:strike w:val="0"/>
            <w:color w:val="467886"/>
            <w:u w:val="single"/>
          </w:rPr>
          <w:t>Loan Agreement (Commercial Real Estate Loan)</w:t>
        </w:r>
      </w:hyperlink>
    </w:p>
    <w:p w:rsidR="000911FB" w:rsidRPr="00C67A9D" w:rsidP="000911FB" w14:paraId="7E18259B" w14:textId="77777777">
      <w:pPr>
        <w:pStyle w:val="Report-Metadata"/>
        <w:rPr>
          <w:b w:val="0"/>
          <w:bCs w:val="0"/>
        </w:rPr>
      </w:pPr>
      <w:r>
        <w:rPr>
          <w:b/>
          <w:i w:val="0"/>
          <w:strike w:val="0"/>
        </w:rPr>
        <w:t>Standard Document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paraId="7F67AA02"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This Standard Document is a form loan agreement for a commercial real estate loan intended to be secured by commercial real property as the primary collateral. This Standard Document is between a commercial financial institution, as the lender, and a commercial real property owner, as the borrower. It contains integrated notes with important explanations and drafting and negotiating tips for all loan parties, including guarantors, and indemnitors, and all their counsel.</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17</w:t>
      </w:r>
      <w:r w:rsidRPr="00755B14">
        <w:rPr>
          <w:b/>
          <w:bCs/>
        </w:rPr>
        <w:t>.</w:t>
      </w:r>
      <w:r w:rsidRPr="00E5063B">
        <w:t xml:space="preserve"> </w:t>
      </w:r>
      <w:r>
        <w:t xml:space="preserve"> </w:t>
      </w:r>
      <w:hyperlink r:id="rId24" w:history="1">
        <w:r>
          <w:rPr>
            <w:rStyle w:val="Hyperlink"/>
            <w:b/>
            <w:i w:val="0"/>
            <w:strike w:val="0"/>
            <w:color w:val="467886"/>
            <w:u w:val="single"/>
          </w:rPr>
          <w:t>The Mortgage Servicing Rules Implementing Dodd-Frank</w:t>
        </w:r>
      </w:hyperlink>
    </w:p>
    <w:p w:rsidR="000911FB" w:rsidRPr="00C67A9D" w:rsidP="000911F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Note discussing the mortgage servicing rules issued by the Consumer Financial Protection Bureau (CFPB) pursuant to the Dodd-Frank Act amendments to the Truth in Lending Act and the Real Estate Settlement Procedures Act. This Note is based on the mortgage servicing rules, as well as on guidance published by the CFPB, including a mortgage servicing small entity compliance guide.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18</w:t>
      </w:r>
      <w:r w:rsidRPr="00755B14">
        <w:rPr>
          <w:b/>
          <w:bCs/>
        </w:rPr>
        <w:t>.</w:t>
      </w:r>
      <w:r w:rsidRPr="00E5063B">
        <w:t xml:space="preserve"> </w:t>
      </w:r>
      <w:r>
        <w:t xml:space="preserve"> </w:t>
      </w:r>
      <w:hyperlink r:id="rId25" w:history="1">
        <w:r>
          <w:rPr>
            <w:rStyle w:val="Hyperlink"/>
            <w:b/>
            <w:i w:val="0"/>
            <w:strike w:val="0"/>
            <w:color w:val="467886"/>
            <w:u w:val="single"/>
          </w:rPr>
          <w:t>Notice of Default/Reservation of Rights: Lending</w:t>
        </w:r>
      </w:hyperlink>
    </w:p>
    <w:p w:rsidR="000911FB" w:rsidRPr="00C67A9D" w:rsidP="000911FB" w14:textId="77777777">
      <w:pPr>
        <w:pStyle w:val="Report-Metadata"/>
        <w:rPr>
          <w:b w:val="0"/>
          <w:bCs w:val="0"/>
        </w:rPr>
      </w:pPr>
      <w:r>
        <w:rPr>
          <w:b/>
          <w:i w:val="0"/>
          <w:strike w:val="0"/>
        </w:rPr>
        <w:t>Standard Document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Standard Document providing a form of notice of default, also known as a reservation of rights letter, to be used by a lender or administrative agent when an event of default has occurred under a loan agreement. This Standard Document is drafted for a syndicated US loan transaction but can be adapted for other lending scenarios. It allows the lender to formally record specific details about an event of default and advise the borrower that post-default interest provisions under the credit agreement may apply. A key function of this notice is to</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Researching New Jersey statutory requirements for notice of default to borrowers under the New Jersey Fair Foreclosure Act and applicable servicing regulations</w:t>
      </w:r>
    </w:p>
    <w:p>
      <w:pPr>
        <w:numPr>
          <w:ilvl w:val="1"/>
          <w:numId w:val="34"/>
        </w:numPr>
        <w:rPr>
          <w:b w:val="0"/>
          <w:i w:val="0"/>
          <w:strike w:val="0"/>
        </w:rPr>
      </w:pPr>
      <w:r>
        <w:rPr>
          <w:rFonts w:ascii="Arial" w:eastAsia="Times New Roman" w:hAnsi="Arial" w:cs="Arial"/>
          <w:b w:val="0"/>
          <w:i w:val="0"/>
          <w:strike w:val="0"/>
          <w:color w:val="1D1D1D"/>
        </w:rPr>
        <w:t>New Jersey Fair Foreclosure Act (N.J.S.A. 2A:50-56) requires notice by registered/certified mail only - does not authorize electronic delivery as adequate notice</w:t>
      </w:r>
    </w:p>
    <w:p>
      <w:pPr>
        <w:numPr>
          <w:ilvl w:val="0"/>
          <w:numId w:val="34"/>
        </w:numPr>
        <w:rPr>
          <w:b w:val="0"/>
          <w:i w:val="0"/>
          <w:strike w:val="0"/>
        </w:rPr>
      </w:pPr>
      <w:r>
        <w:rPr>
          <w:rFonts w:ascii="Arial" w:eastAsia="Times New Roman" w:hAnsi="Arial" w:cs="Arial"/>
          <w:b w:val="0"/>
          <w:i w:val="0"/>
          <w:strike w:val="0"/>
          <w:color w:val="1D1D1D"/>
        </w:rPr>
        <w:t>Examining Third Circuit and New Jersey state court precedent on what constitutes adequate notice of default when delivered through electronic means or online portals</w:t>
      </w:r>
    </w:p>
    <w:p>
      <w:pPr>
        <w:numPr>
          <w:ilvl w:val="1"/>
          <w:numId w:val="34"/>
        </w:numPr>
        <w:rPr>
          <w:b w:val="0"/>
          <w:i w:val="0"/>
          <w:strike w:val="0"/>
        </w:rPr>
      </w:pPr>
      <w:r>
        <w:rPr>
          <w:rFonts w:ascii="Arial" w:eastAsia="Times New Roman" w:hAnsi="Arial" w:cs="Arial"/>
          <w:b w:val="0"/>
          <w:i w:val="0"/>
          <w:strike w:val="0"/>
          <w:color w:val="1D1D1D"/>
        </w:rPr>
        <w:t>US Supreme Court in Mennonite Board requires actual notice by mail when feasible; NJ cases favor actual over constructive notice; no specific precedent on portal sections</w:t>
      </w:r>
    </w:p>
    <w:p>
      <w:pPr>
        <w:numPr>
          <w:ilvl w:val="0"/>
          <w:numId w:val="34"/>
        </w:numPr>
        <w:rPr>
          <w:b w:val="0"/>
          <w:i w:val="0"/>
          <w:strike w:val="0"/>
        </w:rPr>
      </w:pPr>
      <w:r>
        <w:rPr>
          <w:rFonts w:ascii="Arial" w:eastAsia="Times New Roman" w:hAnsi="Arial" w:cs="Arial"/>
          <w:b w:val="0"/>
          <w:i w:val="0"/>
          <w:strike w:val="0"/>
          <w:color w:val="1D1D1D"/>
        </w:rPr>
        <w:t>Analyzing New Jersey case law regarding constructive versus actual notice standards for mortgage default notifications and the borrower's duty to monitor communications</w:t>
      </w:r>
    </w:p>
    <w:p>
      <w:pPr>
        <w:numPr>
          <w:ilvl w:val="1"/>
          <w:numId w:val="34"/>
        </w:numPr>
        <w:rPr>
          <w:b w:val="0"/>
          <w:i w:val="0"/>
          <w:strike w:val="0"/>
        </w:rPr>
      </w:pPr>
      <w:r>
        <w:rPr>
          <w:rFonts w:ascii="Arial" w:eastAsia="Times New Roman" w:hAnsi="Arial" w:cs="Arial"/>
          <w:b w:val="0"/>
          <w:i w:val="0"/>
          <w:strike w:val="0"/>
          <w:color w:val="1D1D1D"/>
        </w:rPr>
        <w:t>NJ courts strongly favor actual notice over constructive notice (Mennonite Board, Rosenthal v. Benun); borrowers have no duty to monitor separate portal sections when statute requires physical mail delivery</w:t>
      </w:r>
    </w:p>
    <w:p>
      <w:pPr>
        <w:numPr>
          <w:ilvl w:val="0"/>
          <w:numId w:val="34"/>
        </w:numPr>
        <w:rPr>
          <w:b w:val="0"/>
          <w:i w:val="0"/>
          <w:strike w:val="0"/>
        </w:rPr>
      </w:pPr>
      <w:r>
        <w:rPr>
          <w:rFonts w:ascii="Arial" w:eastAsia="Times New Roman" w:hAnsi="Arial" w:cs="Arial"/>
          <w:b w:val="0"/>
          <w:i w:val="0"/>
          <w:strike w:val="0"/>
          <w:color w:val="1D1D1D"/>
        </w:rPr>
        <w:t>Investigating Third Circuit decisions on loan servicer disclosure obligations and whether segregating different types of borrower communications affects notice adequacy under federal and state law</w:t>
      </w:r>
    </w:p>
    <w:p>
      <w:pPr>
        <w:numPr>
          <w:ilvl w:val="1"/>
          <w:numId w:val="34"/>
        </w:numPr>
        <w:rPr>
          <w:b w:val="0"/>
          <w:i w:val="0"/>
          <w:strike w:val="0"/>
        </w:rPr>
      </w:pPr>
      <w:r>
        <w:rPr>
          <w:rFonts w:ascii="Arial" w:eastAsia="Times New Roman" w:hAnsi="Arial" w:cs="Arial"/>
          <w:b w:val="0"/>
          <w:i w:val="0"/>
          <w:strike w:val="0"/>
          <w:color w:val="1D1D1D"/>
        </w:rPr>
        <w:t>Federal RESPA regulations (12 CFR 1024.35-36) address borrower communications to servicers but do not establish electronic notice delivery standards for default notices to borrowers</w:t>
      </w:r>
    </w:p>
    <w:p>
      <w:pPr>
        <w:numPr>
          <w:ilvl w:val="0"/>
          <w:numId w:val="34"/>
        </w:numPr>
        <w:rPr>
          <w:b w:val="0"/>
          <w:i w:val="0"/>
          <w:strike w:val="0"/>
        </w:rPr>
      </w:pPr>
      <w:r>
        <w:rPr>
          <w:rFonts w:ascii="Arial" w:eastAsia="Times New Roman" w:hAnsi="Arial" w:cs="Arial"/>
          <w:b w:val="0"/>
          <w:i w:val="0"/>
          <w:strike w:val="0"/>
          <w:color w:val="1D1D1D"/>
        </w:rPr>
        <w:t>Researching New Jersey courts' treatment of electronic notice delivery methods and whether placement of notices in specific portal sections impacts the sufficiency of borrower notification</w:t>
      </w:r>
    </w:p>
    <w:p>
      <w:pPr>
        <w:numPr>
          <w:ilvl w:val="1"/>
          <w:numId w:val="34"/>
        </w:numPr>
        <w:rPr>
          <w:b w:val="0"/>
          <w:i w:val="0"/>
          <w:strike w:val="0"/>
        </w:rPr>
      </w:pPr>
      <w:r>
        <w:rPr>
          <w:rFonts w:ascii="Arial" w:eastAsia="Times New Roman" w:hAnsi="Arial" w:cs="Arial"/>
          <w:b w:val="0"/>
          <w:i w:val="0"/>
          <w:strike w:val="0"/>
          <w:color w:val="1D1D1D"/>
        </w:rPr>
        <w:t>Edison Board case shows NJ courts reject electronic notice as adequate under statutory schemes; Continental Bank case establishes that improper notice addressee invalidates notice even with actual knowledge</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6"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Did the loan servicer ever send any default notices by certified or registered mail to your address as required by New Jersey law?</w:t>
      </w:r>
    </w:p>
    <w:p>
      <w:pPr>
        <w:numPr>
          <w:ilvl w:val="0"/>
          <w:numId w:val="33"/>
        </w:numPr>
        <w:rPr>
          <w:b w:val="0"/>
          <w:i w:val="0"/>
          <w:strike w:val="0"/>
        </w:rPr>
      </w:pPr>
      <w:r>
        <w:rPr>
          <w:rFonts w:ascii="Arial" w:hAnsi="Arial" w:cs="Arial"/>
          <w:b/>
          <w:i w:val="0"/>
          <w:strike w:val="0"/>
          <w:color w:val="1D1D1D"/>
        </w:rPr>
        <w:t>What specific type of notifications were placed in the separate portal section that you did not check?</w:t>
      </w:r>
    </w:p>
    <w:p>
      <w:pPr>
        <w:numPr>
          <w:ilvl w:val="0"/>
          <w:numId w:val="33"/>
        </w:numPr>
        <w:rPr>
          <w:b w:val="0"/>
          <w:i w:val="0"/>
          <w:strike w:val="0"/>
        </w:rPr>
      </w:pPr>
      <w:r>
        <w:rPr>
          <w:rFonts w:ascii="Arial" w:hAnsi="Arial" w:cs="Arial"/>
          <w:b/>
          <w:i w:val="0"/>
          <w:strike w:val="0"/>
          <w:color w:val="1D1D1D"/>
        </w:rPr>
        <w:t>How long had you been regularly checking the statements section of the online portal before the default occurred?</w:t>
      </w:r>
    </w:p>
    <w:p>
      <w:pPr>
        <w:numPr>
          <w:ilvl w:val="0"/>
          <w:numId w:val="33"/>
        </w:numPr>
        <w:rPr>
          <w:b w:val="0"/>
          <w:i w:val="0"/>
          <w:strike w:val="0"/>
        </w:rPr>
      </w:pPr>
      <w:r>
        <w:rPr>
          <w:rFonts w:ascii="Arial" w:hAnsi="Arial" w:cs="Arial"/>
          <w:b/>
          <w:i w:val="0"/>
          <w:strike w:val="0"/>
          <w:color w:val="1D1D1D"/>
        </w:rPr>
        <w:t>Did you receive any email notifications or other alerts directing you to check the separate notifications section of the portal?</w:t>
      </w:r>
    </w:p>
    <w:p>
      <w:pPr>
        <w:numPr>
          <w:ilvl w:val="0"/>
          <w:numId w:val="33"/>
        </w:numPr>
        <w:rPr>
          <w:b w:val="0"/>
          <w:i w:val="0"/>
          <w:strike w:val="0"/>
        </w:rPr>
      </w:pPr>
      <w:r>
        <w:rPr>
          <w:rFonts w:ascii="Arial" w:hAnsi="Arial" w:cs="Arial"/>
          <w:b/>
          <w:i w:val="0"/>
          <w:strike w:val="0"/>
          <w:color w:val="1D1D1D"/>
        </w:rPr>
        <w:t>Was the mortgage loan a residential mortgage on property located in New Jersey?</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26"/>
      <w:footerReference w:type="even" r:id="rId27"/>
      <w:footerReference w:type="default" r:id="rId28"/>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14</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9, 2026</w:t>
    </w:r>
    <w:r w:rsidRPr="00CA3A86" w:rsidR="00266D65">
      <w:rPr>
        <w:rFonts w:ascii="Arial" w:hAnsi="Arial" w:cs="Arial"/>
        <w:sz w:val="18"/>
        <w:szCs w:val="18"/>
      </w:rPr>
      <w:t xml:space="preserve"> at </w:t>
    </w:r>
    <w:r>
      <w:rPr>
        <w:rFonts w:ascii="Arial" w:hAnsi="Arial" w:cs="Arial"/>
        <w:b w:val="0"/>
        <w:i w:val="0"/>
        <w:strike w:val="0"/>
        <w:sz w:val="18"/>
      </w:rPr>
      <w:t>8:03 p.m.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0434"/>
    <w:rsid w:val="00011EB0"/>
    <w:rsid w:val="00020FD1"/>
    <w:rsid w:val="00027A36"/>
    <w:rsid w:val="0003200D"/>
    <w:rsid w:val="00032904"/>
    <w:rsid w:val="000513CE"/>
    <w:rsid w:val="00054AE9"/>
    <w:rsid w:val="00075FC5"/>
    <w:rsid w:val="000815E7"/>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77C2A"/>
    <w:rsid w:val="001947AC"/>
    <w:rsid w:val="00194FAC"/>
    <w:rsid w:val="0019606A"/>
    <w:rsid w:val="001B15B9"/>
    <w:rsid w:val="001B47B6"/>
    <w:rsid w:val="001B4E7F"/>
    <w:rsid w:val="001B6E29"/>
    <w:rsid w:val="001C2E92"/>
    <w:rsid w:val="001C78E3"/>
    <w:rsid w:val="001D4275"/>
    <w:rsid w:val="001E1C60"/>
    <w:rsid w:val="001E54C9"/>
    <w:rsid w:val="001F4EF1"/>
    <w:rsid w:val="001F75F3"/>
    <w:rsid w:val="00201287"/>
    <w:rsid w:val="0021105E"/>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2F1427"/>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3FCB"/>
    <w:rsid w:val="004C4F25"/>
    <w:rsid w:val="004C766E"/>
    <w:rsid w:val="004D7C28"/>
    <w:rsid w:val="004F1C3B"/>
    <w:rsid w:val="00505C4B"/>
    <w:rsid w:val="00510591"/>
    <w:rsid w:val="00516B3F"/>
    <w:rsid w:val="00520D11"/>
    <w:rsid w:val="005218D7"/>
    <w:rsid w:val="00522045"/>
    <w:rsid w:val="00522D43"/>
    <w:rsid w:val="005305F0"/>
    <w:rsid w:val="0053299B"/>
    <w:rsid w:val="00550EC5"/>
    <w:rsid w:val="0056376F"/>
    <w:rsid w:val="00566A4A"/>
    <w:rsid w:val="00566AEF"/>
    <w:rsid w:val="005A2527"/>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092C"/>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2345"/>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6631"/>
    <w:rsid w:val="0081707F"/>
    <w:rsid w:val="008221C5"/>
    <w:rsid w:val="00833D34"/>
    <w:rsid w:val="00833D9C"/>
    <w:rsid w:val="00853C21"/>
    <w:rsid w:val="0086311F"/>
    <w:rsid w:val="00873ADA"/>
    <w:rsid w:val="008775B8"/>
    <w:rsid w:val="00877D32"/>
    <w:rsid w:val="008809CB"/>
    <w:rsid w:val="00884130"/>
    <w:rsid w:val="00893714"/>
    <w:rsid w:val="00897859"/>
    <w:rsid w:val="008B293F"/>
    <w:rsid w:val="008C1635"/>
    <w:rsid w:val="008C3F22"/>
    <w:rsid w:val="008C41E4"/>
    <w:rsid w:val="008C6DA9"/>
    <w:rsid w:val="008C6E74"/>
    <w:rsid w:val="008D3D75"/>
    <w:rsid w:val="008D748A"/>
    <w:rsid w:val="008E22EC"/>
    <w:rsid w:val="008F6E98"/>
    <w:rsid w:val="00904C94"/>
    <w:rsid w:val="0091518F"/>
    <w:rsid w:val="00917C10"/>
    <w:rsid w:val="00922C5F"/>
    <w:rsid w:val="00926860"/>
    <w:rsid w:val="009337AC"/>
    <w:rsid w:val="0093562A"/>
    <w:rsid w:val="0094051C"/>
    <w:rsid w:val="00945A08"/>
    <w:rsid w:val="009569F1"/>
    <w:rsid w:val="00956E15"/>
    <w:rsid w:val="00957A33"/>
    <w:rsid w:val="00971AF2"/>
    <w:rsid w:val="00974121"/>
    <w:rsid w:val="009842AD"/>
    <w:rsid w:val="0098739B"/>
    <w:rsid w:val="0099335B"/>
    <w:rsid w:val="009972E9"/>
    <w:rsid w:val="009A128A"/>
    <w:rsid w:val="009A323E"/>
    <w:rsid w:val="009A6103"/>
    <w:rsid w:val="009B42E6"/>
    <w:rsid w:val="009B789C"/>
    <w:rsid w:val="009D7141"/>
    <w:rsid w:val="009F44D9"/>
    <w:rsid w:val="00A024E9"/>
    <w:rsid w:val="00A14DA2"/>
    <w:rsid w:val="00A20A87"/>
    <w:rsid w:val="00A25B5B"/>
    <w:rsid w:val="00A25E2F"/>
    <w:rsid w:val="00A31E55"/>
    <w:rsid w:val="00A3231B"/>
    <w:rsid w:val="00A33C94"/>
    <w:rsid w:val="00A37A26"/>
    <w:rsid w:val="00A46556"/>
    <w:rsid w:val="00A5211C"/>
    <w:rsid w:val="00A61076"/>
    <w:rsid w:val="00A610D3"/>
    <w:rsid w:val="00A703EB"/>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96ABC"/>
    <w:rsid w:val="00CA2401"/>
    <w:rsid w:val="00CA2EC3"/>
    <w:rsid w:val="00CA3A86"/>
    <w:rsid w:val="00CA43C5"/>
    <w:rsid w:val="00CB4C02"/>
    <w:rsid w:val="00CB5520"/>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11F"/>
    <w:rsid w:val="00EB0702"/>
    <w:rsid w:val="00EB28B9"/>
    <w:rsid w:val="00EC008D"/>
    <w:rsid w:val="00EC1049"/>
    <w:rsid w:val="00EC22E0"/>
    <w:rsid w:val="00EC3CEA"/>
    <w:rsid w:val="00EC6328"/>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 w:val="00FF70C5"/>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1.next.westlaw.com/Link/RelatedInformation/Flag?docGuid=I00757f36612511e18b1ac573b20fcfb7&amp;ppcid=i0a89d6880000019c4404be59b96fae2e&amp;transitionType=AIGuidedResearch&amp;contextData=%28sc.Default%29&amp;conversationId=a741f922-db24-4307-847c-25ee3e9a272f" TargetMode="External" /><Relationship Id="rId11" Type="http://schemas.openxmlformats.org/officeDocument/2006/relationships/hyperlink" Target="https://1.next.westlaw.com/Document/I00757f36612511e18b1ac573b20fcfb7/View/FullText.html?transitionType=AIGuidedResearch&amp;contextData=%28sc.Default%29&amp;list=All&amp;listSource=WebsiteInternal&amp;conversationId=a741f922-db24-4307-847c-25ee3e9a272f" TargetMode="External" /><Relationship Id="rId12" Type="http://schemas.openxmlformats.org/officeDocument/2006/relationships/hyperlink" Target="https://1.next.westlaw.com/Document/Ibe72ef190f9511dd9876f446780b7bdc/View/FullText.html?transitionType=AIGuidedResearch&amp;contextData=%28sc.Default%29&amp;list=All&amp;listSource=WebsiteInternal&amp;conversationId=a741f922-db24-4307-847c-25ee3e9a272f" TargetMode="External" /><Relationship Id="rId13" Type="http://schemas.openxmlformats.org/officeDocument/2006/relationships/hyperlink" Target="https://1.next.westlaw.com/Document/I87646210cc3411ea90f3cef67f2ea235/View/FullText.html?transitionType=AIGuidedResearch&amp;contextData=%28sc.Default%29&amp;list=All&amp;listSource=WebsiteInternal&amp;conversationId=a741f922-db24-4307-847c-25ee3e9a272f" TargetMode="External" /><Relationship Id="rId14" Type="http://schemas.openxmlformats.org/officeDocument/2006/relationships/hyperlink" Target="https://1.next.westlaw.com/Document/I97f22af8337911d986b0aa9c82c164c0/View/FullText.html?transitionType=AIGuidedResearch&amp;contextData=%28sc.Default%29&amp;list=All&amp;listSource=WebsiteInternal&amp;conversationId=a741f922-db24-4307-847c-25ee3e9a272f" TargetMode="External" /><Relationship Id="rId15" Type="http://schemas.openxmlformats.org/officeDocument/2006/relationships/hyperlink" Target="https://1.next.westlaw.com/Document/NA6EAC1C0420611E8BDB1F856BF8557D3/View/FullText.html?transitionType=AIGuidedResearch&amp;contextData=%28sc.Default%29&amp;list=All&amp;listSource=WebsiteInternal&amp;conversationId=a741f922-db24-4307-847c-25ee3e9a272f" TargetMode="External" /><Relationship Id="rId16" Type="http://schemas.openxmlformats.org/officeDocument/2006/relationships/hyperlink" Target="https://1.next.westlaw.com/Document/ND3049510420611E8B97FD852120A8D65/View/FullText.html?transitionType=AIGuidedResearch&amp;contextData=%28sc.Default%29&amp;list=All&amp;listSource=WebsiteInternal&amp;conversationId=a741f922-db24-4307-847c-25ee3e9a272f" TargetMode="External" /><Relationship Id="rId17" Type="http://schemas.openxmlformats.org/officeDocument/2006/relationships/hyperlink" Target="https://1.next.westlaw.com/Document/I3da47664390711e498db8b09b4f043e0/View/FullText.html?transitionType=AIGuidedResearch&amp;contextData=%28sc.Default%29&amp;list=All&amp;listSource=WebsiteInternal&amp;conversationId=a741f922-db24-4307-847c-25ee3e9a272f" TargetMode="External" /><Relationship Id="rId18" Type="http://schemas.openxmlformats.org/officeDocument/2006/relationships/hyperlink" Target="https://1.next.westlaw.com/Document/I7e5a3165de3411ef9870df42e13a1f11/View/FullText.html?transitionType=AIGuidedResearch&amp;contextData=%28sc.Default%29&amp;list=All&amp;listSource=WebsiteInternal&amp;conversationId=a741f922-db24-4307-847c-25ee3e9a272f" TargetMode="External" /><Relationship Id="rId19" Type="http://schemas.openxmlformats.org/officeDocument/2006/relationships/hyperlink" Target="https://1.next.westlaw.com/Document/I83f092c2452611ef8921fbef1a541940/View/FullText.html?transitionType=AIGuidedResearch&amp;contextData=%28sc.Default%29&amp;list=All&amp;listSource=WebsiteInternal&amp;conversationId=a741f922-db24-4307-847c-25ee3e9a272f" TargetMode="External" /><Relationship Id="rId2" Type="http://schemas.openxmlformats.org/officeDocument/2006/relationships/webSettings" Target="webSettings.xml" /><Relationship Id="rId20" Type="http://schemas.openxmlformats.org/officeDocument/2006/relationships/hyperlink" Target="https://1.next.westlaw.com/Document/I83f092c4452611ef8921fbef1a541940/View/FullText.html?transitionType=AIGuidedResearch&amp;contextData=%28sc.Default%29&amp;list=All&amp;listSource=WebsiteInternal&amp;conversationId=a741f922-db24-4307-847c-25ee3e9a272f" TargetMode="External" /><Relationship Id="rId21" Type="http://schemas.openxmlformats.org/officeDocument/2006/relationships/hyperlink" Target="https://1.next.westlaw.com/Document/Ie0787c12dea811e1aa290000837bc6dd/View/FullText.html?transitionType=AIGuidedResearch&amp;contextData=%28sc.Default%29&amp;list=All&amp;listSource=WebsiteInternal&amp;conversationId=a741f922-db24-4307-847c-25ee3e9a272f" TargetMode="External" /><Relationship Id="rId22" Type="http://schemas.openxmlformats.org/officeDocument/2006/relationships/hyperlink" Target="https://1.next.westlaw.com/Document/Ia693214226e111ec8624960fcc733753/View/FullText.html?transitionType=AIGuidedResearch&amp;contextData=%28sc.Default%29&amp;list=All&amp;listSource=WebsiteInternal&amp;conversationId=a741f922-db24-4307-847c-25ee3e9a272f" TargetMode="External" /><Relationship Id="rId23" Type="http://schemas.openxmlformats.org/officeDocument/2006/relationships/hyperlink" Target="https://1.next.westlaw.com/Document/I7d787aa7604811e9adfea82903531a62/View/FullText.html?transitionType=AIGuidedResearch&amp;contextData=%28sc.Default%29&amp;list=All&amp;listSource=WebsiteInternal&amp;conversationId=a741f922-db24-4307-847c-25ee3e9a272f" TargetMode="External" /><Relationship Id="rId24" Type="http://schemas.openxmlformats.org/officeDocument/2006/relationships/hyperlink" Target="https://1.next.westlaw.com/Document/Id934dcb377db11e38578f7ccc38dcbee/View/FullText.html?transitionType=AIGuidedResearch&amp;contextData=%28sc.Default%29&amp;list=All&amp;listSource=WebsiteInternal&amp;conversationId=a741f922-db24-4307-847c-25ee3e9a272f" TargetMode="External" /><Relationship Id="rId25" Type="http://schemas.openxmlformats.org/officeDocument/2006/relationships/hyperlink" Target="https://1.next.westlaw.com/Document/I59dd10f4ef2a11e28578f7ccc38dcbee/View/FullText.html?transitionType=AIGuidedResearch&amp;contextData=%28sc.Default%29&amp;list=All&amp;listSource=WebsiteInternal&amp;conversationId=a741f922-db24-4307-847c-25ee3e9a272f" TargetMode="External" /><Relationship Id="rId26" Type="http://schemas.openxmlformats.org/officeDocument/2006/relationships/header" Target="header1.xml" /><Relationship Id="rId27" Type="http://schemas.openxmlformats.org/officeDocument/2006/relationships/footer" Target="footer1.xml" /><Relationship Id="rId28" Type="http://schemas.openxmlformats.org/officeDocument/2006/relationships/footer" Target="footer2.xm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numbering" Target="numbering.xml" /><Relationship Id="rId31" Type="http://schemas.openxmlformats.org/officeDocument/2006/relationships/styles" Target="styles.xml" /><Relationship Id="rId4" Type="http://schemas.openxmlformats.org/officeDocument/2006/relationships/hyperlink" Target="https://1.next.westlaw.com/Link/RelatedInformation/Flag?docGuid=N7AE9276049C511EFA886AABCA91E19EC&amp;ppcid=i0a89d6880000019c4404be59b96fae2e&amp;transitionType=AIGuidedResearch&amp;contextData=%28sc.Default%29&amp;conversationId=a741f922-db24-4307-847c-25ee3e9a272f" TargetMode="External" /><Relationship Id="rId5" Type="http://schemas.openxmlformats.org/officeDocument/2006/relationships/image" Target="https://i1.next.westlaw.com/permalink/indigo/flag_yellow_small.png" TargetMode="External" /><Relationship Id="rId6" Type="http://schemas.openxmlformats.org/officeDocument/2006/relationships/hyperlink" Target="https://1.next.westlaw.com/Document/N7AE9276049C511EFA886AABCA91E19EC/View/FullText.html?transitionType=AIGuidedResearch&amp;contextData=%28sc.Default%29&amp;list=All&amp;listSource=WebsiteInternal&amp;conversationId=a741f922-db24-4307-847c-25ee3e9a272f" TargetMode="External" /><Relationship Id="rId7" Type="http://schemas.openxmlformats.org/officeDocument/2006/relationships/hyperlink" Target="https://1.next.westlaw.com/Link/RelatedInformation/Flag?docGuid=I2372d3699c1e11d9bdd1cfdd544ca3a4&amp;ppcid=i0a89d6880000019c4404be59b96fae2e&amp;transitionType=AIGuidedResearch&amp;contextData=%28sc.Default%29&amp;conversationId=a741f922-db24-4307-847c-25ee3e9a272f" TargetMode="External" /><Relationship Id="rId8" Type="http://schemas.openxmlformats.org/officeDocument/2006/relationships/hyperlink" Target="https://1.next.westlaw.com/Document/I2372d3699c1e11d9bdd1cfdd544ca3a4/View/FullText.html?transitionType=AIGuidedResearch&amp;contextData=%28sc.Default%29&amp;list=All&amp;listSource=WebsiteInternal&amp;conversationId=a741f922-db24-4307-847c-25ee3e9a272f" TargetMode="External" /><Relationship Id="rId9" Type="http://schemas.openxmlformats.org/officeDocument/2006/relationships/hyperlink" Target="https://1.next.westlaw.com/Document/I9142c958557811d9bf30d7fdf51b6bd4/View/FullText.html?transitionType=AIGuidedResearch&amp;contextData=%28sc.Default%29&amp;list=All&amp;listSource=WebsiteInternal&amp;conversationId=a741f922-db24-4307-847c-25ee3e9a27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14</Pages>
  <Words>45</Words>
  <Characters>941</Characters>
  <Application>Microsoft Office Word</Application>
  <DocSecurity>0</DocSecurity>
  <Lines>85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Hongslo, Michael (TR Technology)</cp:lastModifiedBy>
  <cp:revision>267</cp:revision>
  <dcterms:created xsi:type="dcterms:W3CDTF">2025-07-30T20:26:00Z</dcterms:created>
  <dcterms:modified xsi:type="dcterms:W3CDTF">2026-02-02T20:41:00Z</dcterms:modified>
</cp:coreProperties>
</file>