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SBA LOAN DEFAULT CHALLENGE</w:t>
      </w:r>
    </w:p>
    <w:p>
      <w:pPr>
        <w:spacing w:after="360"/>
        <w:jc w:val="center"/>
      </w:pPr>
      <w:r>
        <w:rPr>
          <w:i/>
          <w:iCs/>
        </w:rPr>
        <w:t xml:space="preserve">Legal Research Summary &amp; Analysis</w:t>
      </w:r>
    </w:p>
    <w:p>
      <w:pPr>
        <w:pStyle w:val="Heading1"/>
      </w:pPr>
      <w:r>
        <w:t xml:space="preserve">EXECUTIVE SUMMARY</w:t>
      </w:r>
    </w:p>
    <w:p>
      <w:pPr>
        <w:spacing w:after="200"/>
      </w:pPr>
      <w:r>
        <w:t xml:space="preserve">This report summarizes legal research concerning an SBA loan default based on allegedly inadequate notice. Your brother faces a default declaration and 30% collection fee after missing payments when a deferment period ended. The lender’s notice consisted of generic emails saying “check your account” and physical mail to an old address, with no direct communication that deferment had ended or that default was imminent.</w:t>
      </w:r>
    </w:p>
    <w:p>
      <w:pPr>
        <w:spacing w:after="360"/>
      </w:pPr>
      <w:r>
        <w:rPr>
          <w:b/>
          <w:bCs/>
        </w:rPr>
        <w:t xml:space="preserve">Key Finding: </w:t>
      </w:r>
      <w:r>
        <w:t xml:space="preserve">While complete default reversal is unlikely, there are viable grounds to challenge the adequacy of notice and seek reduction or waiver of collection fees. The legal landscape provides several potential avenues for relief, particularly under New Jersey state law.</w:t>
      </w:r>
    </w:p>
    <w:p>
      <w:pPr>
        <w:pStyle w:val="Heading1"/>
      </w:pPr>
      <w:r>
        <w:t xml:space="preserve">I. THE LEGAL LANDSCAPE</w:t>
      </w:r>
    </w:p>
    <w:p>
      <w:pPr>
        <w:pStyle w:val="Heading2"/>
      </w:pPr>
      <w:r>
        <w:t xml:space="preserve">A. Federal SBA Regulations</w:t>
      </w:r>
    </w:p>
    <w:p>
      <w:pPr>
        <w:pStyle w:val="Heading3"/>
      </w:pPr>
      <w:r>
        <w:t xml:space="preserve">1. Notice Requirements</w:t>
      </w:r>
    </w:p>
    <w:p>
      <w:pPr>
        <w:spacing w:after="200"/>
      </w:pPr>
      <w:r>
        <w:t xml:space="preserve">SBA regulations (13 C.F.R. Part 120) do not establish specific notice requirements that lenders must provide to borrowers before declaring a default. However, lenders must service loans using “commercially reasonable” standards and “prudent lending standards” consistent with practices for non-SBA commercial loans.</w:t>
      </w:r>
    </w:p>
    <w:p>
      <w:pPr>
        <w:spacing w:after="360"/>
      </w:pPr>
      <w:r>
        <w:rPr>
          <w:b/>
          <w:bCs/>
        </w:rPr>
        <w:t xml:space="preserve">Critical Gap: </w:t>
      </w:r>
      <w:r>
        <w:t xml:space="preserve">The regulations focus on the lender-SBA relationship (when lenders must notify SBA of defaults) rather than lender-borrower communication standards. This creates ambiguity about what constitutes adequate borrower notice.</w:t>
      </w:r>
    </w:p>
    <w:p>
      <w:pPr>
        <w:pStyle w:val="Heading3"/>
      </w:pPr>
      <w:r>
        <w:t xml:space="preserve">2. Collection Fees</w:t>
      </w:r>
    </w:p>
    <w:p>
      <w:pPr>
        <w:spacing w:after="200"/>
      </w:pPr>
      <w:r>
        <w:t xml:space="preserve">SBA regulations do not establish specific percentage limits on collection fees charged to borrowers. Instead, regulations require fees be “reasonable, customary and necessary” in the locality where collection occurs (13 C.F.R. § 120.542).</w:t>
      </w:r>
    </w:p>
    <w:p>
      <w:pPr>
        <w:spacing w:after="360"/>
      </w:pPr>
      <w:r>
        <w:rPr>
          <w:b/>
          <w:bCs/>
        </w:rPr>
        <w:t xml:space="preserve">The 30% Fee: </w:t>
      </w:r>
      <w:r>
        <w:t xml:space="preserve">New Jersey courts have specifically approved 30% collection fees as reasonable in similar debt collection contexts. However, this approval assumes proper procedures were followed. When notice is defective, New Jersey courts have discretion to reduce or waive such fees.</w:t>
      </w:r>
    </w:p>
    <w:p>
      <w:pPr>
        <w:pStyle w:val="Heading2"/>
      </w:pPr>
      <w:r>
        <w:t xml:space="preserve">B. New Jersey State Law</w:t>
      </w:r>
    </w:p>
    <w:p>
      <w:pPr>
        <w:pStyle w:val="Heading3"/>
      </w:pPr>
      <w:r>
        <w:t xml:space="preserve">1. Notice Adequacy Standards</w:t>
      </w:r>
    </w:p>
    <w:p>
      <w:pPr>
        <w:spacing w:after="200"/>
      </w:pPr>
      <w:r>
        <w:t xml:space="preserve">New Jersey law establishes stricter notice requirements than federal SBA regulations. Key principles include:</w:t>
      </w:r>
    </w:p>
    <w:p>
      <w:pPr>
        <w:spacing w:after="120" left="720"/>
      </w:pPr>
      <w:r>
        <w:t xml:space="preserve">• Written notice must be “clearly and conspicuously stated in a manner calculated to make the debtor aware of the situation”</w:t>
      </w:r>
    </w:p>
    <w:p>
      <w:pPr>
        <w:spacing w:after="120" left="720"/>
      </w:pPr>
      <w:r>
        <w:t xml:space="preserve">• The Fair Foreclosure Act requires registered or certified mail to the borrower’s last known address</w:t>
      </w:r>
    </w:p>
    <w:p>
      <w:pPr>
        <w:spacing w:after="120" left="720"/>
      </w:pPr>
      <w:r>
        <w:t xml:space="preserve">• Generic electronic notices may not satisfy statutory requirements when specific notice methods are mandated</w:t>
      </w:r>
    </w:p>
    <w:p>
      <w:pPr>
        <w:spacing w:after="360" left="720"/>
      </w:pPr>
      <w:r>
        <w:t xml:space="preserve">• Courts favor actual notice over constructive notice, especially in mortgage and loan default contexts</w:t>
      </w:r>
    </w:p>
    <w:p>
      <w:pPr>
        <w:pStyle w:val="Heading3"/>
      </w:pPr>
      <w:r>
        <w:t xml:space="preserve">2. The “Least Sophisticated Debtor” Standard</w:t>
      </w:r>
    </w:p>
    <w:p>
      <w:pPr>
        <w:spacing w:after="360"/>
      </w:pPr>
      <w:r>
        <w:t xml:space="preserve">Third Circuit courts apply the “least sophisticated debtor” standard when evaluating notice adequacy under debt collection laws. Generic emails saying “check your account” fail this test because they do not effectively communicate required information such as: the amount of debt, the nature of the default, dispute rights, or the consequences of non-payment.</w:t>
      </w:r>
    </w:p>
    <w:p>
      <w:pPr>
        <w:pStyle w:val="Heading1"/>
      </w:pPr>
      <w:r>
        <w:t xml:space="preserve">II. ANALYSIS OF SPECIFIC ISSUES</w:t>
      </w:r>
    </w:p>
    <w:p>
      <w:pPr>
        <w:pStyle w:val="Heading2"/>
      </w:pPr>
      <w:r>
        <w:t xml:space="preserve">A. Generic Email Notice</w:t>
      </w:r>
    </w:p>
    <w:p>
      <w:pPr>
        <w:spacing w:after="200"/>
      </w:pPr>
      <w:r>
        <w:rPr>
          <w:b/>
          <w:bCs/>
        </w:rPr>
        <w:t xml:space="preserve">The Problem: </w:t>
      </w:r>
      <w:r>
        <w:t xml:space="preserve">Emails stating “check your account” without directly notifying that deferment ended or default risk existed are legally inadequate under multiple authorities:</w:t>
      </w:r>
    </w:p>
    <w:p>
      <w:pPr>
        <w:spacing w:after="120" left="720"/>
      </w:pPr>
      <w:r>
        <w:rPr>
          <w:b/>
          <w:bCs/>
        </w:rPr>
        <w:t xml:space="preserve">Fair Debt Collection Practices Act: </w:t>
      </w:r>
      <w:r>
        <w:t xml:space="preserve">Requires specific written notice within five days containing mandatory elements (debt amount, creditor name, dispute rights, etc.)</w:t>
      </w:r>
    </w:p>
    <w:p>
      <w:pPr>
        <w:spacing w:after="120" left="720"/>
      </w:pPr>
      <w:r>
        <w:rPr>
          <w:b/>
          <w:bCs/>
        </w:rPr>
        <w:t xml:space="preserve">Third Circuit Precedent: </w:t>
      </w:r>
      <w:r>
        <w:t xml:space="preserve">Wilson v. Quadramed Corp. established that “mere inclusion of statutory debt validation notice is not sufficient” — notice must be “conveyed effectively to the debtor”</w:t>
      </w:r>
    </w:p>
    <w:p>
      <w:pPr>
        <w:spacing w:after="360" left="720"/>
      </w:pPr>
      <w:r>
        <w:rPr>
          <w:b/>
          <w:bCs/>
        </w:rPr>
        <w:t xml:space="preserve">Commercial Banking Practices: </w:t>
      </w:r>
      <w:r>
        <w:t xml:space="preserve">New Jersey courts recognize that sophisticated commercial parties understand written documentation is required in banking (New Jersey Bank v. Palladino)</w:t>
      </w:r>
    </w:p>
    <w:p>
      <w:pPr>
        <w:pStyle w:val="Heading2"/>
      </w:pPr>
      <w:r>
        <w:t xml:space="preserve">B. Mail to Old Address</w:t>
      </w:r>
    </w:p>
    <w:p>
      <w:pPr>
        <w:spacing w:after="200"/>
      </w:pPr>
      <w:r>
        <w:rPr>
          <w:b/>
          <w:bCs/>
        </w:rPr>
        <w:t xml:space="preserve">The Problem: </w:t>
      </w:r>
      <w:r>
        <w:t xml:space="preserve">Sending default notices to an address where the borrower hasn’t lived for over a year while maintaining email contact on other matters raises serious notice adequacy questions:</w:t>
      </w:r>
    </w:p>
    <w:p>
      <w:pPr>
        <w:spacing w:after="120" left="720"/>
      </w:pPr>
      <w:r>
        <w:rPr>
          <w:b/>
          <w:bCs/>
        </w:rPr>
        <w:t xml:space="preserve">Due Process Concerns: </w:t>
      </w:r>
      <w:r>
        <w:t xml:space="preserve">Third Circuit applies a sliding scale test considering actual notice. When a lender knows mail isn’t reaching the borrower (evidenced by ongoing email communication), continuing to send notices only by mail may violate due process</w:t>
      </w:r>
    </w:p>
    <w:p>
      <w:pPr>
        <w:spacing w:after="120" left="720"/>
      </w:pPr>
      <w:r>
        <w:rPr>
          <w:b/>
          <w:bCs/>
        </w:rPr>
        <w:t xml:space="preserve">Commercial Reasonableness: </w:t>
      </w:r>
      <w:r>
        <w:t xml:space="preserve">SBA regulations require “commercially reasonable” servicing. When a lender has an active email relationship with a borrower, relying solely on postal mail to an old address may not meet this standard</w:t>
      </w:r>
    </w:p>
    <w:p>
      <w:pPr>
        <w:spacing w:after="360" left="720"/>
      </w:pPr>
      <w:r>
        <w:rPr>
          <w:b/>
          <w:bCs/>
        </w:rPr>
        <w:t xml:space="preserve">Borrower’s Duty: </w:t>
      </w:r>
      <w:r>
        <w:t xml:space="preserve">New Jersey law places no affirmative duty on borrowers to monitor all possible communication channels when proper statutory notice methods exist. The lender bears the burden of ensuring notice reaches the borrower</w:t>
      </w:r>
    </w:p>
    <w:p>
      <w:pPr>
        <w:pStyle w:val="Heading2"/>
      </w:pPr>
      <w:r>
        <w:t xml:space="preserve">C. Confusing Online Portal Design</w:t>
      </w:r>
    </w:p>
    <w:p>
      <w:pPr>
        <w:spacing w:after="200"/>
      </w:pPr>
      <w:r>
        <w:rPr>
          <w:b/>
          <w:bCs/>
        </w:rPr>
        <w:t xml:space="preserve">The Problem: </w:t>
      </w:r>
      <w:r>
        <w:t xml:space="preserve">Separating “statements” from “notifications” in different portal sections creates a constructive notice problem:</w:t>
      </w:r>
    </w:p>
    <w:p>
      <w:pPr>
        <w:spacing w:after="120" left="720"/>
      </w:pPr>
      <w:r>
        <w:t xml:space="preserve">Research shows that New Jersey courts consistently reject inadequate notice delivery methods even when borrowers had some access to information</w:t>
      </w:r>
    </w:p>
    <w:p>
      <w:pPr>
        <w:spacing w:after="120" left="720"/>
      </w:pPr>
      <w:r>
        <w:t xml:space="preserve">A borrower’s regular checking of one portal section does not impose a duty to monitor all portal sections</w:t>
      </w:r>
    </w:p>
    <w:p>
      <w:pPr>
        <w:spacing w:after="360" left="720"/>
      </w:pPr>
      <w:r>
        <w:t xml:space="preserve">CFPB enforcement actions highlight that “mere placement of notices in separate online portal sections without ensuring borrower awareness may undermine compliance with notice requirements”</w:t>
      </w:r>
    </w:p>
    <w:p>
      <w:pPr>
        <w:pStyle w:val="Heading1"/>
      </w:pPr>
      <w:r>
        <w:t xml:space="preserve">III. POTENTIAL AVENUES FOR RESOLUTION</w:t>
      </w:r>
    </w:p>
    <w:p>
      <w:pPr>
        <w:pStyle w:val="Heading2"/>
      </w:pPr>
      <w:r>
        <w:t xml:space="preserve">A. Challenge Default Declaration</w:t>
      </w:r>
    </w:p>
    <w:p>
      <w:pPr>
        <w:pStyle w:val="Heading3"/>
      </w:pPr>
      <w:r>
        <w:t xml:space="preserve">1. Defective Notice Argument</w:t>
      </w:r>
    </w:p>
    <w:p>
      <w:pPr>
        <w:spacing w:after="200"/>
      </w:pPr>
      <w:r>
        <w:rPr>
          <w:b/>
          <w:bCs/>
        </w:rPr>
        <w:t xml:space="preserve">Strongest Arguments: </w:t>
      </w:r>
    </w:p>
    <w:p>
      <w:pPr>
        <w:spacing w:after="120" left="720"/>
      </w:pPr>
      <w:r>
        <w:t xml:space="preserve">The combination of generic emails, mail to old address, and confusing portal design fails the “commercially reasonable” standard required by SBA regulations</w:t>
      </w:r>
    </w:p>
    <w:p>
      <w:pPr>
        <w:spacing w:after="120" left="720"/>
      </w:pPr>
      <w:r>
        <w:t xml:space="preserve">Notice did not effectively communicate that deferment had ended or that payments were required, violating the “least sophisticated debtor” standard</w:t>
      </w:r>
    </w:p>
    <w:p>
      <w:pPr>
        <w:spacing w:after="360" left="720"/>
      </w:pPr>
      <w:r>
        <w:t xml:space="preserve">The lender’s active email relationship demonstrates that email notice would have been more likely to provide actual notice than mail to an old address</w:t>
      </w:r>
    </w:p>
    <w:p>
      <w:pPr>
        <w:pStyle w:val="Heading3"/>
      </w:pPr>
      <w:r>
        <w:t xml:space="preserve">2. Realistic Outcome</w:t>
      </w:r>
    </w:p>
    <w:p>
      <w:pPr>
        <w:spacing w:after="360"/>
      </w:pPr>
      <w:r>
        <w:rPr>
          <w:b/>
          <w:bCs/>
        </w:rPr>
        <w:t xml:space="preserve">Important: </w:t>
      </w:r>
      <w:r>
        <w:t xml:space="preserve">Complete default reversal is unlikely. However, New Jersey courts have broad equitable discretion to fashion remedies for defective notices. The more realistic outcomes include: (1) requiring corrected notice with extended cure opportunity, (2) reducing or waiving fees and costs, or (3) dismissing collection action without prejudice to allow proper notice procedures.</w:t>
      </w:r>
    </w:p>
    <w:p>
      <w:pPr>
        <w:pStyle w:val="Heading2"/>
      </w:pPr>
      <w:r>
        <w:t xml:space="preserve">B. Challenge Collection Fees</w:t>
      </w:r>
    </w:p>
    <w:p>
      <w:pPr>
        <w:spacing w:after="200"/>
      </w:pPr>
      <w:r>
        <w:rPr>
          <w:b/>
          <w:bCs/>
        </w:rPr>
        <w:t xml:space="preserve">Key Authority: </w:t>
      </w:r>
      <w:r>
        <w:t xml:space="preserve">US Bank Nat. Ass’n v. Guillaume (NJ Supreme Court)</w:t>
      </w:r>
    </w:p>
    <w:p>
      <w:pPr>
        <w:spacing w:after="200"/>
      </w:pPr>
      <w:r>
        <w:t xml:space="preserve">This landmark case establishes that New Jersey trial courts have discretion to reduce fees and costs when lenders provide defective notice. The court specifically held that courts can order corrected notices “shall not contain any fees or costs associated with [collection action], but only those fees and costs which would have been due had no [collection action] been commenced.”</w:t>
      </w:r>
    </w:p>
    <w:p>
      <w:pPr>
        <w:spacing w:after="200"/>
      </w:pPr>
      <w:r>
        <w:rPr>
          <w:b/>
          <w:bCs/>
        </w:rPr>
        <w:t xml:space="preserve">Application to Your Case: </w:t>
      </w:r>
    </w:p>
    <w:p>
      <w:pPr>
        <w:spacing w:after="120" left="720"/>
      </w:pPr>
      <w:r>
        <w:t xml:space="preserve">The 30% collection fee was imposed after a default declaration based on inadequate notice</w:t>
      </w:r>
    </w:p>
    <w:p>
      <w:pPr>
        <w:spacing w:after="120" left="720"/>
      </w:pPr>
      <w:r>
        <w:t xml:space="preserve">If a court finds the notice defective, it could order that collection fees be reduced to only those that would have been due with proper notice</w:t>
      </w:r>
    </w:p>
    <w:p>
      <w:pPr>
        <w:spacing w:after="360" left="720"/>
      </w:pPr>
      <w:r>
        <w:t xml:space="preserve">This could result in substantial reduction or complete waiver of the 30% fee</w:t>
      </w:r>
    </w:p>
    <w:p>
      <w:pPr>
        <w:pStyle w:val="Heading2"/>
      </w:pPr>
      <w:r>
        <w:t xml:space="preserve">C. Demand Proper Notice and Cure Opportunity</w:t>
      </w:r>
    </w:p>
    <w:p>
      <w:pPr>
        <w:spacing w:after="200"/>
      </w:pPr>
      <w:r>
        <w:t xml:space="preserve">SBA regulations provide that if a borrower cures a default before the lender requests SBA purchase, the lender’s right to request purchase lapses (13 C.F.R. § 120.520). This suggests borrowers must have adequate opportunity to cure, which requires proper notice.</w:t>
      </w:r>
    </w:p>
    <w:p>
      <w:pPr>
        <w:spacing w:after="360"/>
      </w:pPr>
      <w:r>
        <w:rPr>
          <w:b/>
          <w:bCs/>
        </w:rPr>
        <w:t xml:space="preserve">Strategy: </w:t>
      </w:r>
      <w:r>
        <w:t xml:space="preserve">Argue that without effective notice of deferment termination, your brother never had a genuine opportunity to cure. Request that the lender provide proper written notice with specific information and a reasonable cure period before default can be finalized.</w:t>
      </w:r>
    </w:p>
    <w:p>
      <w:pPr>
        <w:pStyle w:val="Heading1"/>
      </w:pPr>
      <w:r>
        <w:t xml:space="preserve">IV. CRITICAL INFORMATION NEEDED</w:t>
      </w:r>
    </w:p>
    <w:p>
      <w:pPr>
        <w:spacing w:after="200"/>
      </w:pPr>
      <w:r>
        <w:rPr>
          <w:b/>
          <w:bCs/>
        </w:rPr>
        <w:t xml:space="preserve">Importance: </w:t>
      </w:r>
      <w:r>
        <w:t xml:space="preserve">The following information will significantly influence the strength of any challenge and potential outcomes. Your brother should gather documentation on all of these points:</w:t>
      </w:r>
    </w:p>
    <w:p>
      <w:pPr>
        <w:pStyle w:val="Heading2"/>
      </w:pPr>
      <w:r>
        <w:t xml:space="preserve">A. Documentation of Communications</w:t>
      </w:r>
    </w:p>
    <w:p>
      <w:pPr>
        <w:spacing w:after="120" left="720"/>
      </w:pPr>
      <w:r>
        <w:rPr>
          <w:b/>
          <w:bCs/>
        </w:rPr>
        <w:t xml:space="preserve">1. Email History: </w:t>
      </w:r>
      <w:r>
        <w:t xml:space="preserve">Collect ALL emails from the lender for the past 2 years. Note dates, subjects, and whether he opened/read them. This establishes the pattern of email communication and shows what the lender sent (or didn’t send) about deferment and default.</w:t>
      </w:r>
    </w:p>
    <w:p>
      <w:pPr>
        <w:spacing w:after="120" left="720"/>
      </w:pPr>
      <w:r>
        <w:rPr>
          <w:b/>
          <w:bCs/>
        </w:rPr>
        <w:t xml:space="preserve">2. Physical Mail Records: </w:t>
      </w:r>
      <w:r>
        <w:t xml:space="preserve">If any mail was forwarded or if he has documentation of the address change, preserve it. Document when he moved and whether he ever received forwarded mail from the lender.</w:t>
      </w:r>
    </w:p>
    <w:p>
      <w:pPr>
        <w:spacing w:after="120" left="720"/>
      </w:pPr>
      <w:r>
        <w:rPr>
          <w:b/>
          <w:bCs/>
        </w:rPr>
        <w:t xml:space="preserve">3. Portal Access Logs: </w:t>
      </w:r>
      <w:r>
        <w:t xml:space="preserve">Request from the lender: login history showing when he accessed the portal, which sections he viewed, and screenshots of how the portal separates statements from notifications.</w:t>
      </w:r>
    </w:p>
    <w:p>
      <w:pPr>
        <w:spacing w:after="360" left="720"/>
      </w:pPr>
      <w:r>
        <w:rPr>
          <w:b/>
          <w:bCs/>
        </w:rPr>
        <w:t xml:space="preserve">4. Address Update Attempts: </w:t>
      </w:r>
      <w:r>
        <w:t xml:space="preserve">Did he ever try to update his address with the lender? If so, when and how? Any documentation of this would be valuable.</w:t>
      </w:r>
    </w:p>
    <w:p>
      <w:pPr>
        <w:pStyle w:val="Heading2"/>
      </w:pPr>
      <w:r>
        <w:t xml:space="preserve">B. Loan Documentation</w:t>
      </w:r>
    </w:p>
    <w:p>
      <w:pPr>
        <w:spacing w:after="120" left="720"/>
      </w:pPr>
      <w:r>
        <w:rPr>
          <w:b/>
          <w:bCs/>
        </w:rPr>
        <w:t xml:space="preserve">1. Original Loan Agreement: </w:t>
      </w:r>
      <w:r>
        <w:t xml:space="preserve">Review the loan agreement for any provisions about how notice must be provided and whether the borrower agreed to electronic notice or portal-based communications.</w:t>
      </w:r>
    </w:p>
    <w:p>
      <w:pPr>
        <w:spacing w:after="120" left="720"/>
      </w:pPr>
      <w:r>
        <w:rPr>
          <w:b/>
          <w:bCs/>
        </w:rPr>
        <w:t xml:space="preserve">2. Deferment Terms: </w:t>
      </w:r>
      <w:r>
        <w:t xml:space="preserve">What were the specific terms of the deferment? Was there any written agreement about how/when deferment would end? Did it specify notice requirements?</w:t>
      </w:r>
    </w:p>
    <w:p>
      <w:pPr>
        <w:spacing w:after="120" left="720"/>
      </w:pPr>
      <w:r>
        <w:rPr>
          <w:b/>
          <w:bCs/>
        </w:rPr>
        <w:t xml:space="preserve">3. Payment History: </w:t>
      </w:r>
      <w:r>
        <w:t xml:space="preserve">Document all payments made during deferment (if any) and the last payment made before deferment began. This establishes the timeline and shows he was compliant before the notice problems began.</w:t>
      </w:r>
    </w:p>
    <w:p>
      <w:pPr>
        <w:spacing w:after="360" left="720"/>
      </w:pPr>
      <w:r>
        <w:rPr>
          <w:b/>
          <w:bCs/>
        </w:rPr>
        <w:t xml:space="preserve">4. Type of SBA Loan: </w:t>
      </w:r>
      <w:r>
        <w:t xml:space="preserve">Is this a 7(a) loan, 504 loan, microloan, or other? Different SBA loan types may have different servicing requirements.</w:t>
      </w:r>
    </w:p>
    <w:p>
      <w:pPr>
        <w:pStyle w:val="Heading2"/>
      </w:pPr>
      <w:r>
        <w:t xml:space="preserve">C. Default and Collection Documentation</w:t>
      </w:r>
    </w:p>
    <w:p>
      <w:pPr>
        <w:spacing w:after="120" left="720"/>
      </w:pPr>
      <w:r>
        <w:rPr>
          <w:b/>
          <w:bCs/>
        </w:rPr>
        <w:t xml:space="preserve">1. Default Declaration: </w:t>
      </w:r>
      <w:r>
        <w:t xml:space="preserve">When was he officially declared in default? How much time elapsed between the end of deferment and the default declaration?</w:t>
      </w:r>
    </w:p>
    <w:p>
      <w:pPr>
        <w:spacing w:after="120" left="720"/>
      </w:pPr>
      <w:r>
        <w:rPr>
          <w:b/>
          <w:bCs/>
        </w:rPr>
        <w:t xml:space="preserve">2. Collection Fee Calculation: </w:t>
      </w:r>
      <w:r>
        <w:t xml:space="preserve">Get detailed breakdown of the 30% fee. Is it 30% of original principal, current balance, or including interest? What justification did the lender provide for this percentage?</w:t>
      </w:r>
    </w:p>
    <w:p>
      <w:pPr>
        <w:spacing w:after="120" left="720"/>
      </w:pPr>
      <w:r>
        <w:rPr>
          <w:b/>
          <w:bCs/>
        </w:rPr>
        <w:t xml:space="preserve">3. Cure Attempts: </w:t>
      </w:r>
      <w:r>
        <w:t xml:space="preserve">Did he attempt to cure the default once he learned of it? If so, what was the lender’s response? Was he told it was too late or that fees were non-negotiable?</w:t>
      </w:r>
    </w:p>
    <w:p>
      <w:pPr>
        <w:spacing w:after="360" left="720"/>
      </w:pPr>
      <w:r>
        <w:rPr>
          <w:b/>
          <w:bCs/>
        </w:rPr>
        <w:t xml:space="preserve">4. Current Loan Status: </w:t>
      </w:r>
      <w:r>
        <w:t xml:space="preserve">Has the lender requested SBA purchase yet? Is the loan in active collection? This affects available remedies.</w:t>
      </w:r>
    </w:p>
    <w:p>
      <w:pPr>
        <w:pStyle w:val="Heading2"/>
      </w:pPr>
      <w:r>
        <w:t xml:space="preserve">D. Personal Circumstances</w:t>
      </w:r>
    </w:p>
    <w:p>
      <w:pPr>
        <w:spacing w:after="120" left="720"/>
      </w:pPr>
      <w:r>
        <w:rPr>
          <w:b/>
          <w:bCs/>
        </w:rPr>
        <w:t xml:space="preserve">1. Financial Hardship: </w:t>
      </w:r>
      <w:r>
        <w:t xml:space="preserve">Is there documentation of financial hardship during the deferment period? This provides context for why deferment was granted and why proper notice of its termination was critical.</w:t>
      </w:r>
    </w:p>
    <w:p>
      <w:pPr>
        <w:spacing w:after="360" left="720"/>
      </w:pPr>
      <w:r>
        <w:rPr>
          <w:b/>
          <w:bCs/>
        </w:rPr>
        <w:t xml:space="preserve">2. Good Faith Efforts: </w:t>
      </w:r>
      <w:r>
        <w:t xml:space="preserve">Document any attempts to stay current with the loan or communicate with the lender. This shows he wasn’t intentionally avoiding obligations but rather didn’t receive effective notice.</w:t>
      </w:r>
    </w:p>
    <w:p>
      <w:pPr>
        <w:pStyle w:val="Heading1"/>
      </w:pPr>
      <w:r>
        <w:t xml:space="preserve">V. HOW THIS INFORMATION INFLUENCES OUTCOMES</w:t>
      </w:r>
    </w:p>
    <w:p>
      <w:pPr>
        <w:pStyle w:val="Heading2"/>
      </w:pPr>
      <w:r>
        <w:t xml:space="preserve">A. Strengthens Challenge if...</w:t>
      </w:r>
    </w:p>
    <w:p>
      <w:pPr>
        <w:spacing w:after="120" left="720"/>
      </w:pPr>
      <w:r>
        <w:rPr>
          <w:b/>
          <w:bCs/>
        </w:rPr>
        <w:t xml:space="preserve">• Email pattern established: </w:t>
      </w:r>
      <w:r>
        <w:t xml:space="preserve">If records show regular email communication between borrower and lender on account matters, it strengthens the argument that email should have been used for default notice</w:t>
      </w:r>
    </w:p>
    <w:p>
      <w:pPr>
        <w:spacing w:after="120" left="720"/>
      </w:pPr>
      <w:r>
        <w:rPr>
          <w:b/>
          <w:bCs/>
        </w:rPr>
        <w:t xml:space="preserve">• No mention of deferment end: </w:t>
      </w:r>
      <w:r>
        <w:t xml:space="preserve">If emails contain zero information about deferment termination or resumed payment obligations, this supports inadequate notice claim</w:t>
      </w:r>
    </w:p>
    <w:p>
      <w:pPr>
        <w:spacing w:after="120" left="720"/>
      </w:pPr>
      <w:r>
        <w:rPr>
          <w:b/>
          <w:bCs/>
        </w:rPr>
        <w:t xml:space="preserve">• Confusing portal confirmed: </w:t>
      </w:r>
      <w:r>
        <w:t xml:space="preserve">Screenshots showing separate, non-obvious notification sections support argument that portal design contributed to missed notice</w:t>
      </w:r>
    </w:p>
    <w:p>
      <w:pPr>
        <w:spacing w:after="120" left="720"/>
      </w:pPr>
      <w:r>
        <w:rPr>
          <w:b/>
          <w:bCs/>
        </w:rPr>
        <w:t xml:space="preserve">• Quick default declaration: </w:t>
      </w:r>
      <w:r>
        <w:t xml:space="preserve">If lender declared default very soon after deferment ended (e.g., within 30-60 days), argues inadequate opportunity to cure</w:t>
      </w:r>
    </w:p>
    <w:p>
      <w:pPr>
        <w:spacing w:after="120" left="720"/>
      </w:pPr>
      <w:r>
        <w:rPr>
          <w:b/>
          <w:bCs/>
        </w:rPr>
        <w:t xml:space="preserve">• Attempted cure blocked: </w:t>
      </w:r>
      <w:r>
        <w:t xml:space="preserve">If borrower tried to cure upon learning of default but lender refused, strengthens argument that proper notice would have prevented default</w:t>
      </w:r>
    </w:p>
    <w:p>
      <w:pPr>
        <w:spacing w:after="360" left="720"/>
      </w:pPr>
      <w:r>
        <w:rPr>
          <w:b/>
          <w:bCs/>
        </w:rPr>
        <w:t xml:space="preserve">• No express electronic notice consent: </w:t>
      </w:r>
      <w:r>
        <w:t xml:space="preserve">If loan agreement doesn’t contain clear consent to portal-only notice, supports requiring traditional written notice methods</w:t>
      </w:r>
    </w:p>
    <w:p>
      <w:pPr>
        <w:pStyle w:val="Heading2"/>
      </w:pPr>
      <w:r>
        <w:t xml:space="preserve">B. Weakens Challenge if...</w:t>
      </w:r>
    </w:p>
    <w:p>
      <w:pPr>
        <w:spacing w:after="120" left="720"/>
      </w:pPr>
      <w:r>
        <w:rPr>
          <w:b/>
          <w:bCs/>
        </w:rPr>
        <w:t xml:space="preserve">• Portal agreement exists: </w:t>
      </w:r>
      <w:r>
        <w:t xml:space="preserve">If loan documents explicitly state that portal notifications constitute adequate notice and borrower agreed to check portal regularly</w:t>
      </w:r>
    </w:p>
    <w:p>
      <w:pPr>
        <w:spacing w:after="120" left="720"/>
      </w:pPr>
      <w:r>
        <w:rPr>
          <w:b/>
          <w:bCs/>
        </w:rPr>
        <w:t xml:space="preserve">• Emails mentioned portal: </w:t>
      </w:r>
      <w:r>
        <w:t xml:space="preserve">If generic “check your account” emails specifically directed attention to the notifications section (rather than just statements)</w:t>
      </w:r>
    </w:p>
    <w:p>
      <w:pPr>
        <w:spacing w:after="120" left="720"/>
      </w:pPr>
      <w:r>
        <w:rPr>
          <w:b/>
          <w:bCs/>
        </w:rPr>
        <w:t xml:space="preserve">• Extended non-payment: </w:t>
      </w:r>
      <w:r>
        <w:t xml:space="preserve">If many months passed between deferment end and default declaration, may suggest borrower had constructive notice through other means</w:t>
      </w:r>
    </w:p>
    <w:p>
      <w:pPr>
        <w:spacing w:after="120" left="720"/>
      </w:pPr>
      <w:r>
        <w:rPr>
          <w:b/>
          <w:bCs/>
        </w:rPr>
        <w:t xml:space="preserve">• Failed to update address: </w:t>
      </w:r>
      <w:r>
        <w:t xml:space="preserve">If borrower had contractual obligation to notify lender of address changes and failed to do so, may reduce lender’s duty to locate new address</w:t>
      </w:r>
    </w:p>
    <w:p>
      <w:pPr>
        <w:spacing w:after="360" left="720"/>
      </w:pPr>
      <w:r>
        <w:rPr>
          <w:b/>
          <w:bCs/>
        </w:rPr>
        <w:t xml:space="preserve">• Sophisticated borrower: </w:t>
      </w:r>
      <w:r>
        <w:t xml:space="preserve">If borrower has business sophistication or prior SBA loan experience, courts may hold to higher standard of monitoring obligations</w:t>
      </w:r>
    </w:p>
    <w:p>
      <w:pPr>
        <w:pStyle w:val="Heading1"/>
      </w:pPr>
      <w:r>
        <w:t xml:space="preserve">VI. RECOMMENDED NEXT STEPS</w:t>
      </w:r>
    </w:p>
    <w:p>
      <w:pPr>
        <w:pStyle w:val="Heading2"/>
      </w:pPr>
      <w:r>
        <w:t xml:space="preserve">1. Immediate: Gather Documentation</w:t>
      </w:r>
    </w:p>
    <w:p>
      <w:pPr>
        <w:spacing w:after="200" left="720"/>
      </w:pPr>
      <w:r>
        <w:t xml:space="preserve">Collect all items listed in Section IV above. This documentation is essential before taking any formal action. Organize it chronologically and by category (emails, portal access, loan documents, etc.).</w:t>
      </w:r>
    </w:p>
    <w:p>
      <w:pPr>
        <w:pStyle w:val="Heading2"/>
      </w:pPr>
      <w:r>
        <w:t xml:space="preserve">2. Consult with SBA Lending Attorney</w:t>
      </w:r>
    </w:p>
    <w:p>
      <w:pPr>
        <w:spacing w:after="200" left="720"/>
      </w:pPr>
      <w:r>
        <w:t xml:space="preserve">Seek counsel from an attorney experienced in SBA loan disputes and debt collection defense in New Jersey. Bring all documentation gathered. An attorney can assess the specific strength of the case and recommend the best procedural approach.</w:t>
      </w:r>
    </w:p>
    <w:p>
      <w:pPr>
        <w:pStyle w:val="Heading2"/>
      </w:pPr>
      <w:r>
        <w:t xml:space="preserve">3. Consider Formal Notice Challenge</w:t>
      </w:r>
    </w:p>
    <w:p>
      <w:pPr>
        <w:spacing w:after="200" left="720"/>
      </w:pPr>
      <w:r>
        <w:t xml:space="preserve">Through counsel, send a formal letter to the lender challenging the adequacy of notice and requesting: (a) reversal or suspension of default status pending proper notice; (b) waiver or reduction of collection fees; and (c) meaningful cure opportunity with proper notice of obligations.</w:t>
      </w:r>
    </w:p>
    <w:p>
      <w:pPr>
        <w:pStyle w:val="Heading2"/>
      </w:pPr>
      <w:r>
        <w:t xml:space="preserve">4. Explore Settlement</w:t>
      </w:r>
    </w:p>
    <w:p>
      <w:pPr>
        <w:spacing w:after="200" left="720"/>
      </w:pPr>
      <w:r>
        <w:t xml:space="preserve">Even if full default reversal isn’t achievable, the notice defects provide leverage for negotiation. Potential settlement outcomes could include: reduced collection fees, extended cure period, removal of negative credit reporting, or payment plan without collection costs.</w:t>
      </w:r>
    </w:p>
    <w:p>
      <w:pPr>
        <w:pStyle w:val="Heading2"/>
      </w:pPr>
      <w:r>
        <w:t xml:space="preserve">5. If Lender Refuses: Litigation Options</w:t>
      </w:r>
    </w:p>
    <w:p>
      <w:pPr>
        <w:spacing w:after="360" left="720"/>
      </w:pPr>
      <w:r>
        <w:t xml:space="preserve">If the lender refuses reasonable resolution, consider: (a) Raising notice defects as defenses in any collection action; (b) Counterclaims under New Jersey Consumer Fraud Act if lender’s conduct was deceptive; (c) Seeking declaratory judgment on notice adequacy and fee reasonableness; (d) Filing complaint with SBA Office of Hearings and Appeals regarding lender’s servicing practices.</w:t>
      </w:r>
    </w:p>
    <w:p>
      <w:pPr>
        <w:pStyle w:val="Heading1"/>
      </w:pPr>
      <w:r>
        <w:t xml:space="preserve">VII. IMPORTANT CAVEATS</w:t>
      </w:r>
    </w:p>
    <w:p>
      <w:pPr>
        <w:spacing w:after="120" left="720"/>
      </w:pPr>
      <w:r>
        <w:rPr>
          <w:b/>
          <w:bCs/>
        </w:rPr>
        <w:t xml:space="preserve">• Time Sensitivity: </w:t>
      </w:r>
      <w:r>
        <w:t xml:space="preserve">Statutes of limitations and cure periods may be running. Do not delay in consulting counsel and gathering documentation.</w:t>
      </w:r>
    </w:p>
    <w:p>
      <w:pPr>
        <w:spacing w:after="120" left="720"/>
      </w:pPr>
      <w:r>
        <w:rPr>
          <w:b/>
          <w:bCs/>
        </w:rPr>
        <w:t xml:space="preserve">• No Guarantee of Reversal: </w:t>
      </w:r>
      <w:r>
        <w:t xml:space="preserve">Even with strong arguments, complete default reversal is difficult. The more realistic goal is fee reduction and process correction.</w:t>
      </w:r>
    </w:p>
    <w:p>
      <w:pPr>
        <w:spacing w:after="120" left="720"/>
      </w:pPr>
      <w:r>
        <w:rPr>
          <w:b/>
          <w:bCs/>
        </w:rPr>
        <w:t xml:space="preserve">• Underlying Debt Remains: </w:t>
      </w:r>
      <w:r>
        <w:t xml:space="preserve">Challenging the notice and fees doesn’t eliminate the underlying loan obligation. Your brother should be prepared to cure the default if given proper opportunity.</w:t>
      </w:r>
    </w:p>
    <w:p>
      <w:pPr>
        <w:spacing w:after="120" left="720"/>
      </w:pPr>
      <w:r>
        <w:rPr>
          <w:b/>
          <w:bCs/>
        </w:rPr>
        <w:t xml:space="preserve">• Lender’s Defenses: </w:t>
      </w:r>
      <w:r>
        <w:t xml:space="preserve">Lenders will argue: (a) borrower’s duty to maintain current contact information; (b) portal constitutes adequate notice per agreement; (c) sufficient time passed for constructive notice; (d) SBA regulations don’t mandate specific notice methods.</w:t>
      </w:r>
    </w:p>
    <w:p>
      <w:pPr>
        <w:spacing w:after="360" left="720"/>
      </w:pPr>
      <w:r>
        <w:rPr>
          <w:b/>
          <w:bCs/>
        </w:rPr>
        <w:t xml:space="preserve">• This is Not Legal Advice: </w:t>
      </w:r>
      <w:r>
        <w:t xml:space="preserve">This report summarizes legal research but is not legal advice specific to your brother’s situation. Decisions should be made only after consultation with qualified legal counsel.</w:t>
      </w:r>
    </w:p>
    <w:p>
      <w:pPr>
        <w:pStyle w:val="Heading1"/>
      </w:pPr>
      <w:r>
        <w:t xml:space="preserve">CONCLUSION</w:t>
      </w:r>
    </w:p>
    <w:p>
      <w:pPr>
        <w:spacing w:after="200"/>
      </w:pPr>
      <w:r>
        <w:t xml:space="preserve">Your brother has viable grounds to challenge both the default declaration and the 30% collection fee based on inadequate notice. The combination of generic emails, mail to an old address, and confusing portal design creates multiple legal vulnerabilities for the lender.</w:t>
      </w:r>
    </w:p>
    <w:p>
      <w:pPr>
        <w:spacing w:after="200"/>
      </w:pPr>
      <w:r>
        <w:t xml:space="preserve">While federal SBA regulations provide limited borrower protections, New Jersey state law offers robust remedies through courts’ equitable discretion to fashion appropriate relief for defective notices. The key case, US Bank Nat. Ass’n v. Guillaume, establishes clear authority for fee reduction when notice is inadequate.</w:t>
      </w:r>
    </w:p>
    <w:p>
      <w:pPr>
        <w:spacing w:after="200"/>
      </w:pPr>
      <w:r>
        <w:rPr>
          <w:b/>
          <w:bCs/>
        </w:rPr>
        <w:t xml:space="preserve">Success depends heavily on documentation. </w:t>
      </w:r>
      <w:r>
        <w:t xml:space="preserve">The information outlined in Section IV will determine the strength of any challenge. Your brother should prioritize gathering this documentation and consulting with experienced counsel before the situation progresses further.</w:t>
      </w:r>
    </w:p>
    <w:p>
      <w:pPr>
        <w:spacing w:after="360"/>
      </w:pPr>
      <w:r>
        <w:t xml:space="preserve">The legal landscape suggests that while complete default reversal is unlikely, significant fee reduction and procedural corrections are achievable with proper presentation of the notice defects. This provides meaningful leverage for negotiation and potential litigation.</w:t>
      </w:r>
    </w:p>
    <w:p>
      <w:pPr>
        <w:spacing w:before="480" w:after="200"/>
        <w:jc w:val="center"/>
      </w:pPr>
      <w:r>
        <w:rPr>
          <w:b/>
          <w:bCs/>
          <w:sz w:val="20"/>
          <w:szCs w:val="20"/>
        </w:rPr>
        <w:t xml:space="preserve">DISCLAIMER</w:t>
      </w:r>
    </w:p>
    <w:p>
      <w:pPr>
        <w:spacing w:after="200"/>
        <w:jc w:val="center"/>
      </w:pPr>
      <w:r>
        <w:rPr>
          <w:i/>
          <w:iCs/>
          <w:sz w:val="20"/>
          <w:szCs w:val="20"/>
        </w:rPr>
        <w:t xml:space="preserve">This report is for informational purposes only and does not constitute legal advice.</w:t>
      </w:r>
    </w:p>
    <w:p>
      <w:pPr>
        <w:jc w:val="center"/>
      </w:pPr>
      <w:r>
        <w:rPr>
          <w:i/>
          <w:iCs/>
          <w:sz w:val="20"/>
          <w:szCs w:val="20"/>
        </w:rPr>
        <w:t xml:space="preserve">Consult with a qualified attorney before taking any action regarding this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2026-02-09T20:14:24.443Z</dcterms:created>
  <dcterms:modified xsi:type="dcterms:W3CDTF">2026-02-09T20:14:24.443Z</dcterms:modified>
</cp:coreProperties>
</file>

<file path=docProps/custom.xml><?xml version="1.0" encoding="utf-8"?>
<Properties xmlns="http://schemas.openxmlformats.org/officeDocument/2006/custom-properties" xmlns:vt="http://schemas.openxmlformats.org/officeDocument/2006/docPropsVTypes"/>
</file>