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8.0 -->
  <w:body>
    <w:p w:rsidR="000911FB" w:rsidP="000911FB" w14:paraId="14F968FB" w14:textId="46DD7B6A">
      <w:pPr>
        <w:pStyle w:val="Report-Heading"/>
        <w:rPr>
          <w:rFonts w:eastAsiaTheme="minorHAnsi"/>
        </w:rPr>
      </w:pPr>
      <w:r>
        <w:rPr>
          <w:b w:val="0"/>
          <w:i w:val="0"/>
          <w:strike w:val="0"/>
        </w:rPr>
        <w:t>Research question</w:t>
      </w:r>
    </w:p>
    <w:p w:rsidR="00FD0317" w:rsidP="000911FB" w14:paraId="51CFC033" w14:textId="77777777">
      <w:pPr>
        <w:pStyle w:val="Report-Body"/>
      </w:pPr>
    </w:p>
    <w:p w:rsidR="000911FB" w:rsidP="000911FB" w14:paraId="28859EEF" w14:textId="0D31FD51">
      <w:pPr>
        <w:pStyle w:val="Report-Body"/>
      </w:pPr>
      <w:r>
        <w:rPr>
          <w:b w:val="0"/>
          <w:i w:val="0"/>
          <w:strike w:val="0"/>
        </w:rPr>
        <w:t>Under federal debt collection and SBA loan regulations, is notice adequate when a lender sends generic emails saying "check your account" but does not directly notify the borrower that deferment has ended or that they risk default?</w:t>
      </w:r>
    </w:p>
    <w:p w:rsidR="000911FB" w:rsidRPr="00E5063B" w:rsidP="000911FB" w14:paraId="292F0F17" w14:textId="77777777">
      <w:pPr>
        <w:pStyle w:val="Report-Body"/>
      </w:pPr>
    </w:p>
    <w:p>
      <w:pPr>
        <w:pStyle w:val="Report-Metadata"/>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sz w:val="18"/>
        </w:rPr>
        <w:t>NJ, 3rd Circuit</w:t>
        <w:br/>
      </w:r>
    </w:p>
    <w:p w:rsidR="000911FB" w:rsidP="000911FB" w14:paraId="57F8CAA9" w14:textId="77777777">
      <w:pPr>
        <w:pStyle w:val="Report-Body"/>
      </w:pPr>
    </w:p>
    <w:p w:rsidR="000911FB" w:rsidP="000911FB" w14:paraId="7E83A4BC" w14:textId="77777777">
      <w:pPr>
        <w:pStyle w:val="Report-Body"/>
      </w:pPr>
      <w:r>
        <w:rPr>
          <w:noProof/>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852100684"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5" style="mso-wrap-distance-bottom:0;mso-wrap-distance-left:9pt;mso-wrap-distance-right:9pt;mso-wrap-distance-top:0;mso-wrap-style:square;position:absolute;visibility:visible;z-index:251661312" from="0,0.95pt" to="465pt,0.95pt" strokecolor="black" strokeweight="1.5pt">
                <v:stroke joinstyle="miter"/>
              </v:line>
            </w:pict>
          </mc:Fallback>
        </mc:AlternateContent>
      </w:r>
    </w:p>
    <w:p>
      <w:pPr>
        <w:pStyle w:val="Heading3"/>
        <w:rPr>
          <w:b w:val="0"/>
          <w:i w:val="0"/>
          <w:strike w:val="0"/>
        </w:rPr>
      </w:pPr>
      <w:r>
        <w:rPr>
          <w:b/>
          <w:u w:val="none"/>
        </w:rPr>
        <w:t>Summary</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Generic emails stating "check your account" without directly notifying borrowers that deferment has ended or that they risk default are inadequate under federal debt collection and SBA loan regulations. The Fair Debt Collection Practices Act requires specific written notice containing mandatory elements, while SBA regulations require prudent lending standards that would encompass clear borrower communication. Third Circuit and New Jersey precedent establish that notices must effectively communicate required information to the least sophisticated debtor, a standard that generic account check requests cannot satisfy.</w:t>
        <w:br/>
      </w:r>
    </w:p>
    <w:p>
      <w:pPr>
        <w:pStyle w:val="Heading3"/>
        <w:rPr>
          <w:b w:val="0"/>
          <w:i w:val="0"/>
          <w:strike w:val="0"/>
        </w:rPr>
      </w:pPr>
      <w:r>
        <w:rPr>
          <w:b/>
          <w:u w:val="none"/>
        </w:rPr>
        <w:t>Federal Debt Collection Notice Requirements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Fair Debt Collection Practices Act establishes explicit notice requirements that generic emails cannot satisfy. Under 15 U.S.C. § 1692g(a), debt collectors must provide written notice within five days of initial communication containing: (1) the amount of the debt; (2) the name of the creditor; (3) a statement that the debt will be assumed valid unless disputed within thirty days; (4) a statement explaining dispute rights and verification procedures; and (5) information about requesting the original creditor's name and address </w:t>
      </w:r>
      <w:hyperlink r:id="rId4" w:history="1">
        <w:r>
          <w:rPr>
            <w:rStyle w:val="Hyperlink"/>
            <w:rFonts w:ascii="Arial" w:eastAsia="Times New Roman" w:hAnsi="Arial" w:cs="Arial"/>
            <w:b w:val="0"/>
            <w:i w:val="0"/>
            <w:strike w:val="0"/>
            <w:color w:val="467886"/>
            <w:u w:val="none"/>
          </w:rPr>
          <w:t>15 USCA § 1692g</w:t>
        </w:r>
      </w:hyperlink>
      <w:r>
        <w:rPr>
          <w:rFonts w:ascii="Arial" w:eastAsia="Times New Roman" w:hAnsi="Arial" w:cs="Arial"/>
          <w:b w:val="0"/>
          <w:i w:val="0"/>
          <w:strike w:val="0"/>
          <w:color w:val="1D1D1D"/>
          <w:u w:val="none"/>
        </w:rPr>
        <w:t>. The statute's specificity regarding notice contents demonstrates that generic directives to check an account would be legally insufficient, as they fail to provide any of the five mandatory elements.</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Third Circuit has consistently applied the least sophisticated debtor standard when evaluating notice adequacy under the FDCPA. In </w:t>
      </w:r>
      <w:r>
        <w:rPr>
          <w:rFonts w:ascii="Arial" w:eastAsia="Times New Roman" w:hAnsi="Arial" w:cs="Arial"/>
          <w:b w:val="0"/>
          <w:i/>
          <w:strike w:val="0"/>
          <w:color w:val="1D1D1D"/>
          <w:u w:val="none"/>
        </w:rPr>
        <w:t>Wilson v. Quadramed Corp.</w:t>
      </w:r>
      <w:r>
        <w:rPr>
          <w:rFonts w:ascii="Arial" w:eastAsia="Times New Roman" w:hAnsi="Arial" w:cs="Arial"/>
          <w:b w:val="0"/>
          <w:i w:val="0"/>
          <w:strike w:val="0"/>
          <w:color w:val="1D1D1D"/>
          <w:u w:val="none"/>
        </w:rPr>
        <w:t xml:space="preserve">, the court held that "mere inclusion of statutory debt validation notice in debt collection letter is not sufficient to comply with requirements of Fair Debt Collection Practices Act, but, rather, required notice must also be conveyed effectively to the debtor" </w:t>
      </w:r>
      <w:hyperlink r:id="rId5"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KeyCite Yellow Flag" style="width:16pt;height:16pt">
              <v:imagedata r:id="rId6" o:title=""/>
            </v:shape>
          </w:pict>
        </w:r>
      </w:hyperlink>
      <w:r>
        <w:rPr>
          <w:rFonts w:ascii="Arial" w:eastAsia="Times New Roman" w:hAnsi="Arial" w:cs="Arial"/>
          <w:b w:val="0"/>
          <w:i w:val="0"/>
          <w:strike w:val="0"/>
          <w:color w:val="1D1D1D"/>
          <w:u w:val="none"/>
        </w:rPr>
        <w:t xml:space="preserve"> </w:t>
      </w:r>
      <w:hyperlink r:id="rId7" w:history="1">
        <w:r>
          <w:rPr>
            <w:rStyle w:val="Hyperlink"/>
            <w:rFonts w:ascii="Arial" w:eastAsia="Times New Roman" w:hAnsi="Arial" w:cs="Arial"/>
            <w:b w:val="0"/>
            <w:i w:val="0"/>
            <w:strike w:val="0"/>
            <w:color w:val="467886"/>
            <w:u w:val="none"/>
          </w:rPr>
          <w:t>Wilson v. Quadramed Corp., 225 F.3d 350 (2000)</w:t>
        </w:r>
      </w:hyperlink>
      <w:r>
        <w:rPr>
          <w:rFonts w:ascii="Arial" w:eastAsia="Times New Roman" w:hAnsi="Arial" w:cs="Arial"/>
          <w:b w:val="0"/>
          <w:i w:val="0"/>
          <w:strike w:val="0"/>
          <w:color w:val="1D1D1D"/>
          <w:u w:val="none"/>
        </w:rPr>
        <w:t xml:space="preserve">. The court emphasized that notices cannot be overshadowed or contradicted by other language in the communication. Similarly, in </w:t>
      </w:r>
      <w:r>
        <w:rPr>
          <w:rFonts w:ascii="Arial" w:eastAsia="Times New Roman" w:hAnsi="Arial" w:cs="Arial"/>
          <w:b w:val="0"/>
          <w:i/>
          <w:strike w:val="0"/>
          <w:color w:val="1D1D1D"/>
          <w:u w:val="none"/>
        </w:rPr>
        <w:t>Sharpe v. Midland Credit Mgmt.</w:t>
      </w:r>
      <w:r>
        <w:rPr>
          <w:rFonts w:ascii="Arial" w:eastAsia="Times New Roman" w:hAnsi="Arial" w:cs="Arial"/>
          <w:b w:val="0"/>
          <w:i w:val="0"/>
          <w:strike w:val="0"/>
          <w:color w:val="1D1D1D"/>
          <w:u w:val="none"/>
        </w:rPr>
        <w:t xml:space="preserve">, the court reiterated that validation notices must be analyzed "from the perspective of the least sophisticated debtor" and that plaintiffs can challenge notices by showing either that "the form of the debt collection letter overshadows the validation notice" or "the substance of the debt collection letter contradicts the validation notice" </w:t>
      </w:r>
      <w:hyperlink r:id="rId8" w:history="1">
        <w:r>
          <w:pict>
            <v:shape id="_x0000_i1027" type="#_x0000_t75" alt="KeyCite Yellow Flag" style="width:16pt;height:16pt">
              <v:imagedata r:id="rId6" o:title=""/>
            </v:shape>
          </w:pict>
        </w:r>
      </w:hyperlink>
      <w:r>
        <w:rPr>
          <w:rFonts w:ascii="Arial" w:eastAsia="Times New Roman" w:hAnsi="Arial" w:cs="Arial"/>
          <w:b w:val="0"/>
          <w:i w:val="0"/>
          <w:strike w:val="0"/>
          <w:color w:val="1D1D1D"/>
          <w:u w:val="none"/>
        </w:rPr>
        <w:t xml:space="preserve"> </w:t>
      </w:r>
      <w:hyperlink r:id="rId9" w:history="1">
        <w:r>
          <w:pict>
            <v:shape id="_x0000_i1028" type="#_x0000_t75" alt="KeyCite overruling risk - negative treatment" style="width:12pt;height:12pt">
              <v:imagedata r:id="rId10" o:title=""/>
            </v:shape>
          </w:pict>
        </w:r>
      </w:hyperlink>
      <w:r>
        <w:rPr>
          <w:rFonts w:ascii="Arial" w:eastAsia="Times New Roman" w:hAnsi="Arial" w:cs="Arial"/>
          <w:b w:val="0"/>
          <w:i w:val="0"/>
          <w:strike w:val="0"/>
          <w:color w:val="1D1D1D"/>
          <w:u w:val="none"/>
        </w:rPr>
        <w:t xml:space="preserve"> </w:t>
      </w:r>
      <w:hyperlink r:id="rId11" w:history="1">
        <w:r>
          <w:rPr>
            <w:rStyle w:val="Hyperlink"/>
            <w:rFonts w:ascii="Arial" w:eastAsia="Times New Roman" w:hAnsi="Arial" w:cs="Arial"/>
            <w:b w:val="0"/>
            <w:i w:val="0"/>
            <w:strike w:val="0"/>
            <w:color w:val="467886"/>
            <w:u w:val="none"/>
          </w:rPr>
          <w:t>Sharpe v. Midland Credit Management, 269 F.Supp.3d 648 (2017)</w:t>
        </w:r>
      </w:hyperlink>
      <w:r>
        <w:rPr>
          <w:rFonts w:ascii="Arial" w:eastAsia="Times New Roman" w:hAnsi="Arial" w:cs="Arial"/>
          <w:b w:val="0"/>
          <w:i w:val="0"/>
          <w:strike w:val="0"/>
          <w:color w:val="1D1D1D"/>
          <w:u w:val="none"/>
        </w:rPr>
        <w:t>.</w:t>
        <w:br/>
      </w:r>
    </w:p>
    <w:p>
      <w:pPr>
        <w:pStyle w:val="Heading3"/>
        <w:rPr>
          <w:b w:val="0"/>
          <w:i w:val="0"/>
          <w:strike w:val="0"/>
        </w:rPr>
      </w:pPr>
      <w:r>
        <w:rPr>
          <w:b/>
          <w:u w:val="none"/>
        </w:rPr>
        <w:t>SBA Loan Servicing Standards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SBA regulations establish general servicing standards without specific notice requirements for deferment termination. Under 13 C.F.R. § 120.535(a), lenders must "service 7(a) and 504 loans in their portfolio no less diligently than their non-SBA portfolio, and in a commercially reasonable manner, consistent with prudent lending standards" </w:t>
      </w:r>
      <w:hyperlink r:id="rId12" w:history="1">
        <w:r>
          <w:rPr>
            <w:rStyle w:val="Hyperlink"/>
            <w:rFonts w:ascii="Arial" w:eastAsia="Times New Roman" w:hAnsi="Arial" w:cs="Arial"/>
            <w:b w:val="0"/>
            <w:i w:val="0"/>
            <w:strike w:val="0"/>
            <w:color w:val="467886"/>
            <w:u w:val="none"/>
          </w:rPr>
          <w:t>13 CFR § 120.535</w:t>
        </w:r>
      </w:hyperlink>
      <w:r>
        <w:rPr>
          <w:rFonts w:ascii="Arial" w:eastAsia="Times New Roman" w:hAnsi="Arial" w:cs="Arial"/>
          <w:b w:val="0"/>
          <w:i w:val="0"/>
          <w:strike w:val="0"/>
          <w:color w:val="1D1D1D"/>
          <w:u w:val="none"/>
        </w:rPr>
        <w:t>. While the regulation does not specify notice requirements for deferment termination, the requirement for prudent lending standards would reasonably encompass clear communication to borrowers about significant changes in their loan status.</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SBA regulations do address notice obligations in specific contexts. Section 120.535(d) provides that when SBA takes over servicing or liquidation, "SBA will notify the Borrower of the change in servicing" </w:t>
      </w:r>
      <w:hyperlink r:id="rId12" w:history="1">
        <w:r>
          <w:rPr>
            <w:rStyle w:val="Hyperlink"/>
            <w:rFonts w:ascii="Arial" w:eastAsia="Times New Roman" w:hAnsi="Arial" w:cs="Arial"/>
            <w:b w:val="0"/>
            <w:i w:val="0"/>
            <w:strike w:val="0"/>
            <w:color w:val="467886"/>
            <w:u w:val="none"/>
          </w:rPr>
          <w:t>13 CFR § 120.535</w:t>
        </w:r>
      </w:hyperlink>
      <w:r>
        <w:rPr>
          <w:rFonts w:ascii="Arial" w:eastAsia="Times New Roman" w:hAnsi="Arial" w:cs="Arial"/>
          <w:b w:val="0"/>
          <w:i w:val="0"/>
          <w:strike w:val="0"/>
          <w:color w:val="1D1D1D"/>
          <w:u w:val="none"/>
        </w:rPr>
        <w:t>. This demonstrates the SBA's recognition that borrowers are entitled to notice of material changes affecting their loans, supporting the interpretation that prudent lending standards would require notice when deferment periods end.</w:t>
        <w:br/>
      </w:r>
    </w:p>
    <w:p>
      <w:pPr>
        <w:pStyle w:val="Heading3"/>
        <w:rPr>
          <w:b w:val="0"/>
          <w:i w:val="0"/>
          <w:strike w:val="0"/>
        </w:rPr>
      </w:pPr>
      <w:r>
        <w:rPr>
          <w:b/>
          <w:u w:val="none"/>
        </w:rPr>
        <w:t>Third Circuit Precedent on Notice Adequacy</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Third Circuit has developed substantial precedent emphasizing that notices must effectively communicate required information to borrowers. In debt collection contexts, the court has consistently held that generic or vague communications fail to meet federal notice standards. The </w:t>
      </w:r>
      <w:r>
        <w:rPr>
          <w:rFonts w:ascii="Arial" w:eastAsia="Times New Roman" w:hAnsi="Arial" w:cs="Arial"/>
          <w:b w:val="0"/>
          <w:i/>
          <w:strike w:val="0"/>
          <w:color w:val="1D1D1D"/>
          <w:u w:val="none"/>
        </w:rPr>
        <w:t>Wilson</w:t>
      </w:r>
      <w:r>
        <w:rPr>
          <w:rFonts w:ascii="Arial" w:eastAsia="Times New Roman" w:hAnsi="Arial" w:cs="Arial"/>
          <w:b w:val="0"/>
          <w:i w:val="0"/>
          <w:strike w:val="0"/>
          <w:color w:val="1D1D1D"/>
          <w:u w:val="none"/>
        </w:rPr>
        <w:t xml:space="preserve"> court specifically rejected the notion that technical compliance with notice requirements is sufficient, requiring instead that notices effectively convey their intended information </w:t>
      </w:r>
      <w:hyperlink r:id="rId5" w:history="1">
        <w:r>
          <w:pict>
            <v:shape id="_x0000_i1029" type="#_x0000_t75" alt="KeyCite Yellow Flag" style="width:16pt;height:16pt">
              <v:imagedata r:id="rId6" o:title=""/>
            </v:shape>
          </w:pict>
        </w:r>
      </w:hyperlink>
      <w:r>
        <w:rPr>
          <w:rFonts w:ascii="Arial" w:eastAsia="Times New Roman" w:hAnsi="Arial" w:cs="Arial"/>
          <w:b w:val="0"/>
          <w:i w:val="0"/>
          <w:strike w:val="0"/>
          <w:color w:val="1D1D1D"/>
          <w:u w:val="none"/>
        </w:rPr>
        <w:t xml:space="preserve"> </w:t>
      </w:r>
      <w:hyperlink r:id="rId7" w:history="1">
        <w:r>
          <w:rPr>
            <w:rStyle w:val="Hyperlink"/>
            <w:rFonts w:ascii="Arial" w:eastAsia="Times New Roman" w:hAnsi="Arial" w:cs="Arial"/>
            <w:b w:val="0"/>
            <w:i w:val="0"/>
            <w:strike w:val="0"/>
            <w:color w:val="467886"/>
            <w:u w:val="none"/>
          </w:rPr>
          <w:t>Wilson v. Quadramed Corp., 225 F.3d 350 (2000)</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This precedent extends beyond the FDCPA context. In cases involving mortgage servicing, the Third Circuit has emphasized the importance of clear, specific notice to borrowers. These decisions establish a framework where courts scrutinize whether communications actually inform borrowers of their rights and obligations, rather than merely providing technical compliance with regulatory language.</w:t>
        <w:br/>
      </w:r>
    </w:p>
    <w:p>
      <w:pPr>
        <w:pStyle w:val="Heading3"/>
        <w:rPr>
          <w:b w:val="0"/>
          <w:i w:val="0"/>
          <w:strike w:val="0"/>
        </w:rPr>
      </w:pPr>
      <w:r>
        <w:rPr>
          <w:b/>
          <w:u w:val="none"/>
        </w:rPr>
        <w:t>New Jersey State Law Requirements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New Jersey consumer protection laws impose additional notice obligations that supplement federal requirements. The New Jersey Consumer Fraud Act applies broadly to lending practices, with the state Supreme Court holding in </w:t>
      </w:r>
      <w:r>
        <w:rPr>
          <w:rFonts w:ascii="Arial" w:eastAsia="Times New Roman" w:hAnsi="Arial" w:cs="Arial"/>
          <w:b w:val="0"/>
          <w:i/>
          <w:strike w:val="0"/>
          <w:color w:val="1D1D1D"/>
          <w:u w:val="none"/>
        </w:rPr>
        <w:t>Gonzalez v. Wilshire Credit Corp.</w:t>
      </w:r>
      <w:r>
        <w:rPr>
          <w:rFonts w:ascii="Arial" w:eastAsia="Times New Roman" w:hAnsi="Arial" w:cs="Arial"/>
          <w:b w:val="0"/>
          <w:i w:val="0"/>
          <w:strike w:val="0"/>
          <w:color w:val="1D1D1D"/>
          <w:u w:val="none"/>
        </w:rPr>
        <w:t xml:space="preserve"> that "the Consumer Fraud Act applies to lending and the sale of insurance related to the loan" </w:t>
      </w:r>
      <w:hyperlink r:id="rId13" w:history="1">
        <w:r>
          <w:pict>
            <v:shape id="_x0000_i1030" type="#_x0000_t75" alt="KeyCite Yellow Flag" style="width:16pt;height:16pt">
              <v:imagedata r:id="rId6" o:title=""/>
            </v:shape>
          </w:pict>
        </w:r>
      </w:hyperlink>
      <w:r>
        <w:rPr>
          <w:rFonts w:ascii="Arial" w:eastAsia="Times New Roman" w:hAnsi="Arial" w:cs="Arial"/>
          <w:b w:val="0"/>
          <w:i w:val="0"/>
          <w:strike w:val="0"/>
          <w:color w:val="1D1D1D"/>
          <w:u w:val="none"/>
        </w:rPr>
        <w:t xml:space="preserve"> </w:t>
      </w:r>
      <w:hyperlink r:id="rId14" w:history="1">
        <w:r>
          <w:rPr>
            <w:rStyle w:val="Hyperlink"/>
            <w:rFonts w:ascii="Arial" w:eastAsia="Times New Roman" w:hAnsi="Arial" w:cs="Arial"/>
            <w:b w:val="0"/>
            <w:i w:val="0"/>
            <w:strike w:val="0"/>
            <w:color w:val="467886"/>
            <w:u w:val="none"/>
          </w:rPr>
          <w:t>Gonzalez v. Wilshire Credit Corp., 207 N.J. 557 (2011)</w:t>
        </w:r>
      </w:hyperlink>
      <w:r>
        <w:rPr>
          <w:rFonts w:ascii="Arial" w:eastAsia="Times New Roman" w:hAnsi="Arial" w:cs="Arial"/>
          <w:b w:val="0"/>
          <w:i w:val="0"/>
          <w:strike w:val="0"/>
          <w:color w:val="1D1D1D"/>
          <w:u w:val="none"/>
        </w:rPr>
        <w:t>. The court emphasized that fraudulent lending practices, including inadequate disclosure, violate state consumer protection standards.</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New Jersey Fair Foreclosure Act establishes specific notice requirements for mortgage-related communications. In </w:t>
      </w:r>
      <w:r>
        <w:rPr>
          <w:rFonts w:ascii="Arial" w:eastAsia="Times New Roman" w:hAnsi="Arial" w:cs="Arial"/>
          <w:b w:val="0"/>
          <w:i/>
          <w:strike w:val="0"/>
          <w:color w:val="1D1D1D"/>
          <w:u w:val="none"/>
        </w:rPr>
        <w:t>US Bank Nat. Ass'n v. Guillaume</w:t>
      </w:r>
      <w:r>
        <w:rPr>
          <w:rFonts w:ascii="Arial" w:eastAsia="Times New Roman" w:hAnsi="Arial" w:cs="Arial"/>
          <w:b w:val="0"/>
          <w:i w:val="0"/>
          <w:strike w:val="0"/>
          <w:color w:val="1D1D1D"/>
          <w:u w:val="none"/>
        </w:rPr>
        <w:t xml:space="preserve">, the New Jersey Supreme Court held that foreclosure notices must include "the name and address of the actual lender" and that trial courts should consider "the impact of the defect in the notice upon the homeowner's information about the status of the loan" when fashioning remedies </w:t>
      </w:r>
      <w:hyperlink r:id="rId15" w:history="1">
        <w:r>
          <w:pict>
            <v:shape id="_x0000_i1031" type="#_x0000_t75" alt="KeyCite Yellow Flag" style="width:16pt;height:16pt">
              <v:imagedata r:id="rId6" o:title=""/>
            </v:shape>
          </w:pict>
        </w:r>
      </w:hyperlink>
      <w:r>
        <w:rPr>
          <w:rFonts w:ascii="Arial" w:eastAsia="Times New Roman" w:hAnsi="Arial" w:cs="Arial"/>
          <w:b w:val="0"/>
          <w:i w:val="0"/>
          <w:strike w:val="0"/>
          <w:color w:val="1D1D1D"/>
          <w:u w:val="none"/>
        </w:rPr>
        <w:t xml:space="preserve"> </w:t>
      </w:r>
      <w:hyperlink r:id="rId16" w:history="1">
        <w:r>
          <w:rPr>
            <w:rStyle w:val="Hyperlink"/>
            <w:rFonts w:ascii="Arial" w:eastAsia="Times New Roman" w:hAnsi="Arial" w:cs="Arial"/>
            <w:b w:val="0"/>
            <w:i w:val="0"/>
            <w:strike w:val="0"/>
            <w:color w:val="467886"/>
            <w:u w:val="none"/>
          </w:rPr>
          <w:t>US Bank Nat. Ass'n v. Guillaume, 209 N.J. 449 (2012)</w:t>
        </w:r>
      </w:hyperlink>
      <w:r>
        <w:rPr>
          <w:rFonts w:ascii="Arial" w:eastAsia="Times New Roman" w:hAnsi="Arial" w:cs="Arial"/>
          <w:b w:val="0"/>
          <w:i w:val="0"/>
          <w:strike w:val="0"/>
          <w:color w:val="1D1D1D"/>
          <w:u w:val="none"/>
        </w:rPr>
        <w:t>. This precedent demonstrates New Jersey's commitment to meaningful notice that actually informs borrowers of their loan status.</w:t>
      </w:r>
    </w:p>
    <w:p w:rsidR="000911FB" w:rsidRPr="00E5063B" w:rsidP="000911FB" w14:paraId="5F10F1E7" w14:textId="77777777">
      <w:pPr>
        <w:pStyle w:val="Report-Body"/>
      </w:pPr>
    </w:p>
    <w:p>
      <w:pPr>
        <w:pStyle w:val="Heading3"/>
        <w:rPr>
          <w:b w:val="0"/>
          <w:i w:val="0"/>
          <w:strike w:val="0"/>
        </w:rPr>
      </w:pPr>
      <w:r>
        <w:rPr>
          <w:b/>
          <w:u w:val="none"/>
        </w:rPr>
        <w:t>Administrative Decisions and Guidance</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Under the SBA Section 7(a) Business Loan Program, lenders are contractually required to notify SBA in writing within 30 days of any uncured borrower default as a material and legally binding condition precedent to demanding SBA purchase of the guaranteed loan. Failure to provide timely notice can result in SBA lacking authority to purchase the loan, and such notification requirements serve to enable the SBA to provide timely assistance and maintain oversight. The regulations and loan guaranty agreements define default and notification procedures with specificity, and the SBA generally does not waive noncompliance with the 30-day notice rule, emphasizing the importance of clear and prompt borrower default communications within the SBA lending framework </w:t>
      </w:r>
      <w:hyperlink r:id="rId17" w:history="1">
        <w:r>
          <w:pict>
            <v:shape id="_x0000_i1032" type="#_x0000_t75" alt="KeyCite Yellow Flag" style="width:16pt;height:16pt">
              <v:imagedata r:id="rId6" o:title=""/>
            </v:shape>
          </w:pict>
        </w:r>
      </w:hyperlink>
      <w:r>
        <w:rPr>
          <w:rFonts w:ascii="Arial" w:eastAsia="Times New Roman" w:hAnsi="Arial" w:cs="Arial"/>
          <w:b w:val="0"/>
          <w:i w:val="0"/>
          <w:strike w:val="0"/>
          <w:color w:val="1D1D1D"/>
          <w:u w:val="none"/>
        </w:rPr>
        <w:t xml:space="preserve"> </w:t>
      </w:r>
      <w:hyperlink r:id="rId18" w:history="1">
        <w:r>
          <w:rPr>
            <w:rStyle w:val="Hyperlink"/>
            <w:rFonts w:ascii="Arial" w:eastAsia="Times New Roman" w:hAnsi="Arial" w:cs="Arial"/>
            <w:b w:val="0"/>
            <w:i w:val="0"/>
            <w:strike w:val="0"/>
            <w:color w:val="467886"/>
            <w:u w:val="none"/>
          </w:rPr>
          <w:t>Comp.Gen. B- 181432</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SBA loan program regulations also emphasize that lenders must maintain good faith and accurate communications with the SBA, with breaches of fiduciary duties—such as misrepresentations or obfuscations in communications—jeopardizing lender status (e.g., Preferred Lender Program) and potentially resulting in sanctions including revocation. Lenders are expected to deliver clear and direct notices to borrowers, and generic or misleading communications that fail to directly notify borrowers about material issues like deferment termination or default risk may conflict with SBA's standards and fiduciary expectations. This is illustrated by cases where improper communication practices were found to violate SBA policy and result in revocation of lender privileges. Moreover, SBA oversight involves close monitoring and regular reviews of lender compliance to ensure adherence to procedural and notification requirements </w:t>
      </w:r>
      <w:hyperlink r:id="rId19" w:history="1">
        <w:r>
          <w:rPr>
            <w:rStyle w:val="Hyperlink"/>
            <w:rFonts w:ascii="Arial" w:eastAsia="Times New Roman" w:hAnsi="Arial" w:cs="Arial"/>
            <w:b w:val="0"/>
            <w:i w:val="0"/>
            <w:strike w:val="0"/>
            <w:color w:val="467886"/>
            <w:u w:val="none"/>
          </w:rPr>
          <w:t>S.B.A. SBA No. 708</w:t>
        </w:r>
      </w:hyperlink>
      <w:r>
        <w:rPr>
          <w:rFonts w:ascii="Arial" w:eastAsia="Times New Roman" w:hAnsi="Arial" w:cs="Arial"/>
          <w:b w:val="0"/>
          <w:i w:val="0"/>
          <w:strike w:val="0"/>
          <w:color w:val="1D1D1D"/>
          <w:u w:val="none"/>
        </w:rPr>
        <w:t xml:space="preserve">, </w:t>
      </w:r>
      <w:hyperlink r:id="rId20" w:history="1">
        <w:r>
          <w:pict>
            <v:shape id="_x0000_i1033" type="#_x0000_t75" alt="KeyCite Yellow Flag" style="width:16pt;height:16pt">
              <v:imagedata r:id="rId6" o:title=""/>
            </v:shape>
          </w:pict>
        </w:r>
      </w:hyperlink>
      <w:r>
        <w:rPr>
          <w:rFonts w:ascii="Arial" w:eastAsia="Times New Roman" w:hAnsi="Arial" w:cs="Arial"/>
          <w:b w:val="0"/>
          <w:i w:val="0"/>
          <w:strike w:val="0"/>
          <w:color w:val="1D1D1D"/>
          <w:u w:val="none"/>
        </w:rPr>
        <w:t xml:space="preserve"> </w:t>
      </w:r>
      <w:hyperlink r:id="rId21" w:history="1">
        <w:r>
          <w:rPr>
            <w:rStyle w:val="Hyperlink"/>
            <w:rFonts w:ascii="Arial" w:eastAsia="Times New Roman" w:hAnsi="Arial" w:cs="Arial"/>
            <w:b w:val="0"/>
            <w:i w:val="0"/>
            <w:strike w:val="0"/>
            <w:color w:val="467886"/>
            <w:u w:val="none"/>
          </w:rPr>
          <w:t>Comp.Gen. B- 300248</w:t>
        </w:r>
      </w:hyperlink>
      <w:r>
        <w:rPr>
          <w:rFonts w:ascii="Arial" w:eastAsia="Times New Roman" w:hAnsi="Arial" w:cs="Arial"/>
          <w:b w:val="0"/>
          <w:i w:val="0"/>
          <w:strike w:val="0"/>
          <w:color w:val="1D1D1D"/>
          <w:u w:val="none"/>
        </w:rPr>
        <w:t>.</w:t>
        <w:br/>
      </w:r>
    </w:p>
    <w:p>
      <w:pPr>
        <w:pStyle w:val="Heading3"/>
        <w:rPr>
          <w:b w:val="0"/>
          <w:i w:val="0"/>
          <w:strike w:val="0"/>
        </w:rPr>
      </w:pPr>
      <w:r>
        <w:rPr>
          <w:b/>
          <w:u w:val="none"/>
        </w:rPr>
        <w:t>Commentary on This Question</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Under federal law governing SBA-guaranteed loans, including those subject to the Uniform Commercial Code (UCC) provisions applied as federal common law, lenders' obligations concerning notice and good faith dealings are firmly established. The UCC requires secured parties, including SBA lenders, to act in a commercially reasonable manner upon default, especially regarding disposition of collateral under UCC § 9-504(3), though “good faith” is defined as “honesty in fact” rather than imposing a standard of commercial reasonableness in every aspect of enforcement or notification duties. SBA actions, including subordination of collateral rights or foreclosure, do not necessarily impose heightened notice obligations beyond contractual terms or statutory minimums to borrowers or guarantors, and failure to inform borrowers or guarantors of such actions may not breach SBA duties </w:t>
      </w:r>
      <w:hyperlink r:id="rId22" w:history="1">
        <w:r>
          <w:pict>
            <v:shape id="_x0000_i1034" type="#_x0000_t75" alt="KeyCite Yellow Flag" style="width:16pt;height:16pt">
              <v:imagedata r:id="rId6" o:title=""/>
            </v:shape>
          </w:pict>
        </w:r>
      </w:hyperlink>
      <w:r>
        <w:rPr>
          <w:rFonts w:ascii="Arial" w:eastAsia="Times New Roman" w:hAnsi="Arial" w:cs="Arial"/>
          <w:b w:val="0"/>
          <w:i w:val="0"/>
          <w:strike w:val="0"/>
          <w:color w:val="1D1D1D"/>
          <w:u w:val="none"/>
        </w:rPr>
        <w:t xml:space="preserve"> </w:t>
      </w:r>
      <w:hyperlink r:id="rId23" w:history="1">
        <w:r>
          <w:rPr>
            <w:rStyle w:val="Hyperlink"/>
            <w:rFonts w:ascii="Arial" w:eastAsia="Times New Roman" w:hAnsi="Arial" w:cs="Arial"/>
            <w:b w:val="0"/>
            <w:i w:val="0"/>
            <w:strike w:val="0"/>
            <w:color w:val="467886"/>
            <w:u w:val="none"/>
          </w:rPr>
          <w:t>30 A.L.R.3d 9</w:t>
        </w:r>
      </w:hyperlink>
      <w:r>
        <w:rPr>
          <w:rFonts w:ascii="Arial" w:eastAsia="Times New Roman" w:hAnsi="Arial" w:cs="Arial"/>
          <w:b w:val="0"/>
          <w:i w:val="0"/>
          <w:strike w:val="0"/>
          <w:color w:val="1D1D1D"/>
          <w:u w:val="none"/>
        </w:rPr>
        <w:t xml:space="preserve">, </w:t>
      </w:r>
      <w:hyperlink r:id="rId24" w:history="1">
        <w:r>
          <w:rPr>
            <w:rStyle w:val="Hyperlink"/>
            <w:rFonts w:ascii="Arial" w:eastAsia="Times New Roman" w:hAnsi="Arial" w:cs="Arial"/>
            <w:b w:val="0"/>
            <w:i w:val="0"/>
            <w:strike w:val="0"/>
            <w:color w:val="467886"/>
            <w:u w:val="none"/>
          </w:rPr>
          <w:t>7 A.L.R.4th 308</w:t>
        </w:r>
      </w:hyperlink>
      <w:r>
        <w:rPr>
          <w:rFonts w:ascii="Arial" w:eastAsia="Times New Roman" w:hAnsi="Arial" w:cs="Arial"/>
          <w:b w:val="0"/>
          <w:i w:val="0"/>
          <w:strike w:val="0"/>
          <w:color w:val="1D1D1D"/>
          <w:u w:val="none"/>
        </w:rPr>
        <w:t xml:space="preserve">. The SBA is not obligated to provide hearing or written decision denying deferment, and loan acceleration and collection actions are permissible absent extended notification or moratorium, especially if the borrower is insolvent </w:t>
      </w:r>
      <w:hyperlink r:id="rId25" w:history="1">
        <w:r>
          <w:rPr>
            <w:rStyle w:val="Hyperlink"/>
            <w:rFonts w:ascii="Arial" w:eastAsia="Times New Roman" w:hAnsi="Arial" w:cs="Arial"/>
            <w:b w:val="0"/>
            <w:i w:val="0"/>
            <w:strike w:val="0"/>
            <w:color w:val="467886"/>
            <w:u w:val="none"/>
          </w:rPr>
          <w:t>33 A.L.R. Fed. 3d Art. 1</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Though general loan servicing rules and case law establish that notification of default and clear communications about foreclosure or acceleration are typically required, the specific regulatory or statutory mandates about borrower notification under SBA loan programs and federal debt collection statutes focus more on contract terms and good faith rather than mandating direct disclosure. Generic email advisories like “check your account” may fail to meet the standard of direct notice informing borrowers of deferment cessation or default risk, but a strict statutory requirement for direct, specific borrower notification has not been expressly mandated at the federal level in SBA or UCC contexts. State-specific practices, including New Jersey or Third Circuit requirements, were not addressed by the provided materials </w:t>
      </w:r>
      <w:hyperlink r:id="rId26" w:history="1">
        <w:r>
          <w:rPr>
            <w:rStyle w:val="Hyperlink"/>
            <w:rFonts w:ascii="Arial" w:eastAsia="Times New Roman" w:hAnsi="Arial" w:cs="Arial"/>
            <w:b w:val="0"/>
            <w:i w:val="0"/>
            <w:strike w:val="0"/>
            <w:color w:val="467886"/>
            <w:u w:val="none"/>
          </w:rPr>
          <w:t>125 AMJUR TRIALS 541</w:t>
        </w:r>
      </w:hyperlink>
      <w:r>
        <w:rPr>
          <w:rFonts w:ascii="Arial" w:eastAsia="Times New Roman" w:hAnsi="Arial" w:cs="Arial"/>
          <w:b w:val="0"/>
          <w:i w:val="0"/>
          <w:strike w:val="0"/>
          <w:color w:val="1D1D1D"/>
          <w:u w:val="none"/>
        </w:rPr>
        <w:t>.</w:t>
        <w:br/>
      </w:r>
    </w:p>
    <w:p>
      <w:pPr>
        <w:pStyle w:val="Heading3"/>
        <w:rPr>
          <w:b w:val="0"/>
          <w:i w:val="0"/>
          <w:strike w:val="0"/>
        </w:rPr>
      </w:pPr>
      <w:r>
        <w:rPr>
          <w:b/>
          <w:u w:val="none"/>
        </w:rPr>
        <w:t>Current Awareness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JD Supra reports that CFPB examinations in 2024 found some debt collectors failed to provide the validation notice required by Regulation F within five days of initial contact and failed to provide key disclosures, including in the student loan context. Regulation F (12 C.F.R. part 1006) requires timely, substantive validation notices with specified information; communications that merely instruct borrowers to check an account without conveying required disclosures present compliance concerns with these obligations. </w:t>
      </w:r>
      <w:hyperlink r:id="rId27" w:history="1">
        <w:r>
          <w:rPr>
            <w:rStyle w:val="Hyperlink"/>
            <w:rFonts w:ascii="Arial" w:eastAsia="Times New Roman" w:hAnsi="Arial" w:cs="Arial"/>
            <w:b w:val="0"/>
            <w:i w:val="0"/>
            <w:strike w:val="0"/>
            <w:color w:val="467886"/>
            <w:u w:val="none"/>
          </w:rPr>
          <w:t>'CFPB publishes annual report on FDCPA findings...', by Orrick, Herrington &amp; Sutcliffe LLP, Published By JD Supra</w:t>
        </w:r>
      </w:hyperlink>
      <w:r>
        <w:rPr>
          <w:rFonts w:ascii="Arial" w:eastAsia="Times New Roman" w:hAnsi="Arial" w:cs="Arial"/>
          <w:b w:val="0"/>
          <w:i w:val="0"/>
          <w:strike w:val="0"/>
          <w:color w:val="1D1D1D"/>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JD Supra further notes CFPB enforcement focus through amicus filings and identifies violations involving false or misleading representations, while the FTC announced public FDCPA enforcement actions in 2024. These developments underscore regulatory scrutiny of communication adequacy and required disclosures, which is relevant to assessing the sufficiency of generic electronic messages in debt collection contexts. </w:t>
      </w:r>
      <w:hyperlink r:id="rId27" w:history="1">
        <w:r>
          <w:rPr>
            <w:rStyle w:val="Hyperlink"/>
            <w:rFonts w:ascii="Arial" w:eastAsia="Times New Roman" w:hAnsi="Arial" w:cs="Arial"/>
            <w:b w:val="0"/>
            <w:i w:val="0"/>
            <w:strike w:val="0"/>
            <w:color w:val="467886"/>
            <w:u w:val="none"/>
          </w:rPr>
          <w:t>'CFPB publishes annual report on FDCPA findings...', by Orrick, Herrington &amp; Sutcliffe LLP, Published By JD Supra</w:t>
        </w:r>
      </w:hyperlink>
      <w:r>
        <w:rPr>
          <w:rFonts w:ascii="Arial" w:eastAsia="Times New Roman" w:hAnsi="Arial" w:cs="Arial"/>
          <w:b w:val="0"/>
          <w:i w:val="0"/>
          <w:strike w:val="0"/>
          <w:color w:val="1D1D1D"/>
          <w:u w:val="none"/>
        </w:rPr>
        <w:br/>
      </w:r>
    </w:p>
    <w:p w:rsidR="008F6E98" w:rsidRPr="000F6139" w:rsidP="000911FB" w14:paraId="1BDDA594" w14:textId="4A1ED078">
      <w:pPr>
        <w:pStyle w:val="Report-Body"/>
        <w:rPr>
          <w:i/>
          <w:iCs/>
          <w:color w:val="626262"/>
        </w:rPr>
      </w:pPr>
      <w:r>
        <w:rPr>
          <w:b w:val="0"/>
          <w:i/>
          <w:strike w:val="0"/>
          <w:color w:val="626262"/>
        </w:rPr>
        <w:t>Generated by AI. Not legal advice. A qualified professional must verify accuracy and legal compliance.</w:t>
      </w:r>
    </w:p>
    <w:p w:rsidR="008F6E98" w:rsidP="00732345" w14:paraId="7F309E74" w14:textId="7FFD4E0F">
      <w:pPr>
        <w:pStyle w:val="Report-Body"/>
      </w:pPr>
    </w:p>
    <w:p w:rsidR="00A703EB" w:rsidP="00732345" w14:paraId="2236D9F8" w14:textId="77777777">
      <w:pPr>
        <w:pStyle w:val="Report-Body"/>
        <w:rPr>
          <w:sz w:val="36"/>
          <w:szCs w:val="36"/>
        </w:rPr>
      </w:pPr>
    </w:p>
    <w:p w:rsidR="000911FB" w:rsidRPr="00E5063B" w:rsidP="000911FB" w14:paraId="016C5B73" w14:textId="5B4649AF">
      <w:pPr>
        <w:pStyle w:val="Report-Body"/>
      </w:pPr>
    </w:p>
    <w:p w:rsidR="000911FB" w:rsidP="00EC22E0" w14:paraId="6971FCAF" w14:textId="1A7F0E9B">
      <w:pPr>
        <w:spacing w:before="113" w:after="113"/>
        <w:rPr>
          <w:rFonts w:eastAsiaTheme="minorEastAsia"/>
          <w:b/>
        </w:rPr>
      </w:pPr>
    </w:p>
    <w:p w:rsidR="000911FB" w:rsidP="000911FB" w14:paraId="54F7B823" w14:textId="77777777">
      <w:pPr>
        <w:pStyle w:val="Report-Heading"/>
        <w:rPr>
          <w:rFonts w:eastAsiaTheme="majorEastAsia"/>
        </w:rPr>
      </w:pPr>
      <w:r>
        <w:rPr>
          <w:noProof/>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283253753"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35" style="mso-wrap-distance-bottom:0;mso-wrap-distance-left:9pt;mso-wrap-distance-right:9pt;mso-wrap-distance-top:0;mso-wrap-style:square;position:absolute;visibility:visible;z-index:251659264" from="0,0.95pt" to="465pt,0.95pt" strokecolor="black" strokeweight="1.5pt">
                <v:stroke joinstyle="miter"/>
              </v:line>
            </w:pict>
          </mc:Fallback>
        </mc:AlternateContent>
      </w:r>
    </w:p>
    <w:p w:rsidR="000911FB" w:rsidP="000911FB" w14:paraId="3E600C81" w14:textId="77777777">
      <w:pPr>
        <w:pStyle w:val="Report-Heading"/>
      </w:pPr>
      <w:r w:rsidRPr="00956E15">
        <w:rPr>
          <w:rFonts w:eastAsiaTheme="majorEastAsia"/>
        </w:rPr>
        <w:t>Sources (</w:t>
      </w:r>
      <w:r>
        <w:rPr>
          <w:b w:val="0"/>
          <w:i w:val="0"/>
          <w:strike w:val="0"/>
        </w:rPr>
        <w:t>17</w:t>
      </w:r>
      <w:r w:rsidRPr="00956E15">
        <w:t>)</w:t>
      </w:r>
    </w:p>
    <w:p w:rsidR="000911FB" w:rsidRPr="00E5063B" w:rsidP="000911FB" w14:paraId="05CC7906" w14:textId="77777777">
      <w:pPr>
        <w:pStyle w:val="Report-Body"/>
      </w:pPr>
    </w:p>
    <w:p w:rsidR="000911FB" w:rsidP="000911FB" w14:paraId="3D36BA02" w14:textId="03D3B1FE">
      <w:pPr>
        <w:pStyle w:val="Report-Body"/>
      </w:pPr>
      <w:r>
        <w:rPr>
          <w:b/>
          <w:i w:val="0"/>
          <w:strike w:val="0"/>
        </w:rPr>
        <w:t>1</w:t>
      </w:r>
      <w:r w:rsidRPr="00755B14">
        <w:rPr>
          <w:b/>
          <w:bCs/>
        </w:rPr>
        <w:t>.</w:t>
      </w:r>
      <w:r>
        <w:t xml:space="preserve"> </w:t>
      </w:r>
      <w:r>
        <w:t xml:space="preserve"> </w:t>
      </w:r>
      <w:hyperlink r:id="rId4" w:history="1">
        <w:r>
          <w:rPr>
            <w:rStyle w:val="Hyperlink"/>
            <w:b/>
            <w:i w:val="0"/>
            <w:strike w:val="0"/>
            <w:color w:val="467886"/>
            <w:u w:val="single"/>
          </w:rPr>
          <w:t>§ 1692g. Validation of debts</w:t>
        </w:r>
      </w:hyperlink>
    </w:p>
    <w:p w:rsidR="000911FB" w:rsidRPr="00C67A9D" w:rsidP="000911FB" w14:paraId="778AA143" w14:textId="43CA2655">
      <w:pPr>
        <w:pStyle w:val="Report-Metadata"/>
        <w:rPr>
          <w:b w:val="0"/>
          <w:bCs w:val="0"/>
        </w:rPr>
      </w:pPr>
      <w:r>
        <w:rPr>
          <w:b/>
          <w:i w:val="0"/>
          <w:strike w:val="0"/>
        </w:rPr>
        <w:t>15 USCA § 1692g</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mandatory debt validation notice requirements including debt amount, creditor information, and borrower dispute rights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...Within five days after the initial communication with a consumer in connection with the collection of any debt, a debt collector shall, unless the following information is contained in the initial communication or the consumer has paid the debt, send the consumer a written notice containing-- (3) a statement that unless the consumer, within thirty days after receipt of the notice, disputes the validity of the debt, or any portion thereof, the debt will be assumed to be valid by the debt collector;...</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2</w:t>
      </w:r>
      <w:r w:rsidRPr="00755B14">
        <w:rPr>
          <w:b/>
          <w:bCs/>
        </w:rPr>
        <w:t>.</w:t>
      </w:r>
      <w:r>
        <w:t xml:space="preserve"> </w:t>
      </w:r>
      <w:hyperlink r:id="rId5" w:history="1">
        <w:r>
          <w:pict>
            <v:shape id="_x0000_i1036" type="#_x0000_t75" alt="KeyCite Yellow Flag" style="width:16pt;height:16pt">
              <v:imagedata r:id="rId6" o:title=""/>
            </v:shape>
          </w:pict>
        </w:r>
      </w:hyperlink>
      <w:r>
        <w:t xml:space="preserve"> </w:t>
      </w:r>
      <w:hyperlink r:id="rId7" w:history="1">
        <w:r>
          <w:rPr>
            <w:rStyle w:val="Hyperlink"/>
            <w:b/>
            <w:i w:val="0"/>
            <w:strike w:val="0"/>
            <w:color w:val="467886"/>
            <w:u w:val="single"/>
          </w:rPr>
          <w:t>Wilson v. Quadramed Corp.</w:t>
        </w:r>
      </w:hyperlink>
    </w:p>
    <w:p w:rsidR="000911FB" w:rsidRPr="00C67A9D" w:rsidP="000911FB" w14:textId="43CA2655">
      <w:pPr>
        <w:pStyle w:val="Report-Metadata"/>
        <w:rPr>
          <w:b w:val="0"/>
          <w:bCs w:val="0"/>
        </w:rPr>
      </w:pPr>
      <w:r>
        <w:rPr>
          <w:b/>
          <w:i w:val="0"/>
          <w:strike w:val="0"/>
        </w:rPr>
        <w:t>United States Court of Appeals, Third Circuit.</w:t>
      </w:r>
      <w:r w:rsidRPr="00C67A9D">
        <w:rPr>
          <w:b w:val="0"/>
          <w:bCs w:val="0"/>
        </w:rPr>
        <w:t xml:space="preserve">   •   </w:t>
      </w:r>
      <w:r>
        <w:rPr>
          <w:b/>
          <w:i w:val="0"/>
          <w:strike w:val="0"/>
        </w:rPr>
        <w:t>August 28, 2000</w:t>
      </w:r>
      <w:r w:rsidRPr="00C67A9D">
        <w:rPr>
          <w:b w:val="0"/>
          <w:bCs w:val="0"/>
        </w:rPr>
        <w:t xml:space="preserve">   •   </w:t>
      </w:r>
      <w:r>
        <w:rPr>
          <w:b/>
          <w:i w:val="0"/>
          <w:strike w:val="0"/>
        </w:rPr>
        <w:t>225 F.3d 350</w:t>
      </w:r>
      <w:r w:rsidRPr="00C67A9D">
        <w:rPr>
          <w:b w:val="0"/>
          <w:bCs w:val="0"/>
        </w:rPr>
        <w:t xml:space="preserve">   •   </w:t>
      </w:r>
      <w:r>
        <w:rPr>
          <w:b/>
          <w:i w:val="0"/>
          <w:strike w:val="0"/>
        </w:rPr>
        <w:t>2000 WL 1222164</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Holding that debt validation notices must be effectively conveyed to debtors under the least sophisticated debtor standard</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...Mere inclusion of statutory debt validation notice in debt collection letter is not sufficient to comply with requirements of Fair Debt Collection Practices Act (FDCPA), but, rather, required notice must also be conveyed effectively to the debtor. Consumer Credit Protection Act, S 809(a), as amended, 15 U.S.C.A. S 1692g(a)....</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3</w:t>
      </w:r>
      <w:r w:rsidRPr="00755B14">
        <w:rPr>
          <w:b/>
          <w:bCs/>
        </w:rPr>
        <w:t>.</w:t>
      </w:r>
      <w:r>
        <w:t xml:space="preserve"> </w:t>
      </w:r>
      <w:hyperlink r:id="rId8" w:history="1">
        <w:r>
          <w:pict>
            <v:shape id="_x0000_i1037" type="#_x0000_t75" alt="KeyCite Yellow Flag" style="width:16pt;height:16pt">
              <v:imagedata r:id="rId6" o:title=""/>
            </v:shape>
          </w:pict>
        </w:r>
      </w:hyperlink>
      <w:r>
        <w:rPr>
          <w:b w:val="0"/>
          <w:i w:val="0"/>
          <w:strike w:val="0"/>
        </w:rPr>
        <w:t xml:space="preserve"> </w:t>
      </w:r>
      <w:hyperlink r:id="rId9" w:history="1">
        <w:r>
          <w:pict>
            <v:shape id="_x0000_i1038" type="#_x0000_t75" alt="KeyCite overruling risk - negative treatment" style="width:12pt;height:12pt">
              <v:imagedata r:id="rId10" o:title=""/>
            </v:shape>
          </w:pict>
        </w:r>
      </w:hyperlink>
      <w:r>
        <w:t xml:space="preserve"> </w:t>
      </w:r>
      <w:hyperlink r:id="rId11" w:history="1">
        <w:r>
          <w:rPr>
            <w:rStyle w:val="Hyperlink"/>
            <w:b/>
            <w:i w:val="0"/>
            <w:strike w:val="0"/>
            <w:color w:val="467886"/>
            <w:u w:val="single"/>
          </w:rPr>
          <w:t>Sharpe v. Midland Credit Management</w:t>
        </w:r>
      </w:hyperlink>
    </w:p>
    <w:p w:rsidR="000911FB" w:rsidRPr="00C67A9D" w:rsidP="000911FB" w14:textId="43CA2655">
      <w:pPr>
        <w:pStyle w:val="Report-Metadata"/>
        <w:rPr>
          <w:b w:val="0"/>
          <w:bCs w:val="0"/>
        </w:rPr>
      </w:pPr>
      <w:r>
        <w:rPr>
          <w:b/>
          <w:i w:val="0"/>
          <w:strike w:val="0"/>
        </w:rPr>
        <w:t>United States District Court, E.D. Pennsylvania.</w:t>
      </w:r>
      <w:r w:rsidRPr="00C67A9D">
        <w:rPr>
          <w:b w:val="0"/>
          <w:bCs w:val="0"/>
        </w:rPr>
        <w:t xml:space="preserve">   •   </w:t>
      </w:r>
      <w:r>
        <w:rPr>
          <w:b/>
          <w:i w:val="0"/>
          <w:strike w:val="0"/>
        </w:rPr>
        <w:t>September 01, 2017</w:t>
      </w:r>
      <w:r w:rsidRPr="00C67A9D">
        <w:rPr>
          <w:b w:val="0"/>
          <w:bCs w:val="0"/>
        </w:rPr>
        <w:t xml:space="preserve">   •   </w:t>
      </w:r>
      <w:r>
        <w:rPr>
          <w:b/>
          <w:i w:val="0"/>
          <w:strike w:val="0"/>
        </w:rPr>
        <w:t>269 F.Supp.3d 648</w:t>
      </w:r>
      <w:r w:rsidRPr="00C67A9D">
        <w:rPr>
          <w:b w:val="0"/>
          <w:bCs w:val="0"/>
        </w:rPr>
        <w:t xml:space="preserve">   •   </w:t>
      </w:r>
      <w:r>
        <w:rPr>
          <w:b/>
          <w:i w:val="0"/>
          <w:strike w:val="0"/>
        </w:rPr>
        <w:t>2017 WL 3863865</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standards for challenging validation notices under the FDCPA</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...To challenge a validation notice under the Fair Debt Collection Practices Act (FDCPA), the plaintiff must show that: (1) the form of the debt collection letter overshadows the validation notice, or (2) the substance of the debt collection letter contradicts the validation notice. Consumer Credit Protection Act S 809, 15 U.S.C.A. S 1692g(a)....</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4</w:t>
      </w:r>
      <w:r w:rsidRPr="00755B14">
        <w:rPr>
          <w:b/>
          <w:bCs/>
        </w:rPr>
        <w:t>.</w:t>
      </w:r>
      <w:r>
        <w:t xml:space="preserve"> </w:t>
      </w:r>
      <w:r>
        <w:t xml:space="preserve"> </w:t>
      </w:r>
      <w:hyperlink r:id="rId12" w:history="1">
        <w:r>
          <w:rPr>
            <w:rStyle w:val="Hyperlink"/>
            <w:b/>
            <w:i w:val="0"/>
            <w:strike w:val="0"/>
            <w:color w:val="467886"/>
            <w:u w:val="single"/>
          </w:rPr>
          <w:t>§ 120.535 Standards for Lender and CDC loan servicing, loan liquidation and debt collection litigation.</w:t>
        </w:r>
      </w:hyperlink>
    </w:p>
    <w:p w:rsidR="000911FB" w:rsidRPr="00C67A9D" w:rsidP="000911FB" w14:textId="43CA2655">
      <w:pPr>
        <w:pStyle w:val="Report-Metadata"/>
        <w:rPr>
          <w:b w:val="0"/>
          <w:bCs w:val="0"/>
        </w:rPr>
      </w:pPr>
      <w:r>
        <w:rPr>
          <w:b/>
          <w:i w:val="0"/>
          <w:strike w:val="0"/>
        </w:rPr>
        <w:t>13 C.F.R. § 120.535</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Requiring SBA lenders to service loans using prudent lending standards and commercially reasonable practices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...(a) Service using prudent lending standards. Lenders and CDCs must service 7(a) and 504 loans in their portfolio no less diligently than their non-SBA portfolio, and in a commercially reasonable manner, consistent with prudent lending standards, and in accordance with Loan Program Requirements. Those Lenders and CDCs that do not maintain a non-SBA loan portfolio must adhere to the same prudent lending standards for loan servicing followed by commercial lenders on loans without a government guarantee....</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...(d) SBA rights to take over servicing or liquidation. SBA may, in its sole discretion, undertake the servicing, liquidation and/or litigation of any 7(a) or 504 loan. If SBA elects to service, liquidate and/or litigate a loan, it will notify the relevant Lender or CDC in writing, and, upon receiving such notice, the Lender or CDC must assign the Loan Instruments to SBA and provide any needed assistance to allow SBA to service, liquidate and/or litigate the loan. SBA will notify the Borrower of the change in servicing. SBA may use contractors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5</w:t>
      </w:r>
      <w:r w:rsidRPr="00755B14">
        <w:rPr>
          <w:b/>
          <w:bCs/>
        </w:rPr>
        <w:t>.</w:t>
      </w:r>
      <w:r>
        <w:t xml:space="preserve"> </w:t>
      </w:r>
      <w:hyperlink r:id="rId13" w:history="1">
        <w:r>
          <w:pict>
            <v:shape id="_x0000_i1039" type="#_x0000_t75" alt="KeyCite Yellow Flag" style="width:16pt;height:16pt">
              <v:imagedata r:id="rId6" o:title=""/>
            </v:shape>
          </w:pict>
        </w:r>
      </w:hyperlink>
      <w:r>
        <w:t xml:space="preserve"> </w:t>
      </w:r>
      <w:hyperlink r:id="rId14" w:history="1">
        <w:r>
          <w:rPr>
            <w:rStyle w:val="Hyperlink"/>
            <w:b/>
            <w:i w:val="0"/>
            <w:strike w:val="0"/>
            <w:color w:val="467886"/>
            <w:u w:val="single"/>
          </w:rPr>
          <w:t>Gonzalez v. Wilshire Credit Corp.</w:t>
        </w:r>
      </w:hyperlink>
    </w:p>
    <w:p w:rsidR="000911FB" w:rsidRPr="00C67A9D" w:rsidP="000911FB" w14:textId="43CA2655">
      <w:pPr>
        <w:pStyle w:val="Report-Metadata"/>
        <w:rPr>
          <w:b w:val="0"/>
          <w:bCs w:val="0"/>
        </w:rPr>
      </w:pPr>
      <w:r>
        <w:rPr>
          <w:b/>
          <w:i w:val="0"/>
          <w:strike w:val="0"/>
        </w:rPr>
        <w:t>Supreme Court of New Jersey.</w:t>
      </w:r>
      <w:r w:rsidRPr="00C67A9D">
        <w:rPr>
          <w:b w:val="0"/>
          <w:bCs w:val="0"/>
        </w:rPr>
        <w:t xml:space="preserve">   •   </w:t>
      </w:r>
      <w:r>
        <w:rPr>
          <w:b/>
          <w:i w:val="0"/>
          <w:strike w:val="0"/>
        </w:rPr>
        <w:t>August 29, 2011</w:t>
      </w:r>
      <w:r w:rsidRPr="00C67A9D">
        <w:rPr>
          <w:b w:val="0"/>
          <w:bCs w:val="0"/>
        </w:rPr>
        <w:t xml:space="preserve">   •   </w:t>
      </w:r>
      <w:r>
        <w:rPr>
          <w:b/>
          <w:i w:val="0"/>
          <w:strike w:val="0"/>
        </w:rPr>
        <w:t>207 N.J. 557</w:t>
      </w:r>
      <w:r w:rsidRPr="00C67A9D">
        <w:rPr>
          <w:b w:val="0"/>
          <w:bCs w:val="0"/>
        </w:rPr>
        <w:t xml:space="preserve">   •   </w:t>
      </w:r>
      <w:r>
        <w:rPr>
          <w:b/>
          <w:i w:val="0"/>
          <w:strike w:val="0"/>
        </w:rPr>
        <w:t>25 A.3d 1103</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Holding that the Consumer Fraud Act applies to lending practices including post-judgment agreements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...The Consumer Fraud Act (CFA) applies to lending and the sale of insurance related to the loan. N.J.S.A. 56:8-2....</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6</w:t>
      </w:r>
      <w:r w:rsidRPr="00755B14">
        <w:rPr>
          <w:b/>
          <w:bCs/>
        </w:rPr>
        <w:t>.</w:t>
      </w:r>
      <w:r>
        <w:t xml:space="preserve"> </w:t>
      </w:r>
      <w:hyperlink r:id="rId15" w:history="1">
        <w:r>
          <w:pict>
            <v:shape id="_x0000_i1040" type="#_x0000_t75" alt="KeyCite Yellow Flag" style="width:16pt;height:16pt">
              <v:imagedata r:id="rId6" o:title=""/>
            </v:shape>
          </w:pict>
        </w:r>
      </w:hyperlink>
      <w:r>
        <w:t xml:space="preserve"> </w:t>
      </w:r>
      <w:hyperlink r:id="rId16" w:history="1">
        <w:r>
          <w:rPr>
            <w:rStyle w:val="Hyperlink"/>
            <w:b/>
            <w:i w:val="0"/>
            <w:strike w:val="0"/>
            <w:color w:val="467886"/>
            <w:u w:val="single"/>
          </w:rPr>
          <w:t>US Bank Nat. Ass'n v. Guillaume</w:t>
        </w:r>
      </w:hyperlink>
    </w:p>
    <w:p w:rsidR="000911FB" w:rsidRPr="00C67A9D" w:rsidP="000911FB" w14:textId="43CA2655">
      <w:pPr>
        <w:pStyle w:val="Report-Metadata"/>
        <w:rPr>
          <w:b w:val="0"/>
          <w:bCs w:val="0"/>
        </w:rPr>
      </w:pPr>
      <w:r>
        <w:rPr>
          <w:b/>
          <w:i w:val="0"/>
          <w:strike w:val="0"/>
        </w:rPr>
        <w:t>Supreme Court of New Jersey.</w:t>
      </w:r>
      <w:r w:rsidRPr="00C67A9D">
        <w:rPr>
          <w:b w:val="0"/>
          <w:bCs w:val="0"/>
        </w:rPr>
        <w:t xml:space="preserve">   •   </w:t>
      </w:r>
      <w:r>
        <w:rPr>
          <w:b/>
          <w:i w:val="0"/>
          <w:strike w:val="0"/>
        </w:rPr>
        <w:t>February 27, 2012</w:t>
      </w:r>
      <w:r w:rsidRPr="00C67A9D">
        <w:rPr>
          <w:b w:val="0"/>
          <w:bCs w:val="0"/>
        </w:rPr>
        <w:t xml:space="preserve">   •   </w:t>
      </w:r>
      <w:r>
        <w:rPr>
          <w:b/>
          <w:i w:val="0"/>
          <w:strike w:val="0"/>
        </w:rPr>
        <w:t>209 N.J. 449</w:t>
      </w:r>
      <w:r w:rsidRPr="00C67A9D">
        <w:rPr>
          <w:b w:val="0"/>
          <w:bCs w:val="0"/>
        </w:rPr>
        <w:t xml:space="preserve">   •   </w:t>
      </w:r>
      <w:r>
        <w:rPr>
          <w:b/>
          <w:i w:val="0"/>
          <w:strike w:val="0"/>
        </w:rPr>
        <w:t>38 A.3d 570</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Requiring specific lender information in foreclosure notices and consideration of notice defects' impact on borrower information</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...A trial court fashioning an equitable remedy for a violation of Fair Foreclosure Act's requirement that a notice of intention to foreclose include the name and address of the actual lender should consider the impact of the defect in the notice upon the homeowner's information about the status of the loan, and on his or her opportunity to cure the default. N.J.S.A. 2A:50-56(c)(11)....</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7</w:t>
      </w:r>
      <w:r w:rsidRPr="00755B14">
        <w:rPr>
          <w:b/>
          <w:bCs/>
        </w:rPr>
        <w:t>.</w:t>
      </w:r>
      <w:r>
        <w:t xml:space="preserve"> </w:t>
      </w:r>
      <w:hyperlink r:id="rId17" w:history="1">
        <w:r>
          <w:pict>
            <v:shape id="_x0000_i1041" type="#_x0000_t75" alt="KeyCite Yellow Flag" style="width:16pt;height:16pt">
              <v:imagedata r:id="rId6" o:title=""/>
            </v:shape>
          </w:pict>
        </w:r>
      </w:hyperlink>
      <w:r>
        <w:t xml:space="preserve"> </w:t>
      </w:r>
      <w:hyperlink r:id="rId18" w:history="1">
        <w:r>
          <w:rPr>
            <w:rStyle w:val="Hyperlink"/>
            <w:b/>
            <w:i w:val="0"/>
            <w:strike w:val="0"/>
            <w:color w:val="467886"/>
            <w:u w:val="single"/>
          </w:rPr>
          <w:t>SBA SECTION 7(A) BUSINESS LOANS</w:t>
        </w:r>
      </w:hyperlink>
    </w:p>
    <w:p w:rsidR="000911FB" w:rsidRPr="00C67A9D" w:rsidP="000911FB" w14:textId="43CA2655">
      <w:pPr>
        <w:pStyle w:val="Report-Metadata"/>
        <w:rPr>
          <w:b w:val="0"/>
          <w:bCs w:val="0"/>
        </w:rPr>
      </w:pPr>
      <w:r>
        <w:rPr>
          <w:b/>
          <w:i w:val="0"/>
          <w:strike w:val="0"/>
        </w:rPr>
        <w:t>Comp.Gen.</w:t>
      </w:r>
      <w:r w:rsidRPr="00C67A9D">
        <w:rPr>
          <w:b w:val="0"/>
          <w:bCs w:val="0"/>
        </w:rPr>
        <w:t xml:space="preserve">   •   </w:t>
      </w:r>
      <w:r>
        <w:rPr>
          <w:b/>
          <w:i w:val="0"/>
          <w:strike w:val="0"/>
        </w:rPr>
        <w:t>February 19, 1976</w:t>
      </w:r>
      <w:r w:rsidRPr="00C67A9D">
        <w:rPr>
          <w:b w:val="0"/>
          <w:bCs w:val="0"/>
        </w:rPr>
        <w:t xml:space="preserve">   •   </w:t>
      </w:r>
      <w:r>
        <w:rPr>
          <w:b/>
          <w:i w:val="0"/>
          <w:strike w:val="0"/>
        </w:rPr>
        <w:t>B- 181432</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6</w:t>
            </w:r>
            <w:r>
              <w:rPr>
                <w:rFonts w:ascii="Arial" w:eastAsia="Times New Roman" w:hAnsi="Arial" w:cs="Arial"/>
                <w:b w:val="0"/>
                <w:i w:val="0"/>
                <w:strike w:val="0"/>
                <w:color w:val="1D1D1D"/>
              </w:rPr>
              <w:br/>
              <w:t>...7 THE IMPORTANCE OF THIS REQUIREMENT AND THE CONSEQUENCES RESULTING FROM LACK OF STRICT COMPLIANCE BECAME EVIDENT IN THE COURSE OF OUR AUDIT REVIEW. SBA'S ABILITY TO PROVIDE BORROWERS WITH TIMELY ASSISTANCE DEPENDS UPON AN EARLY AWARENESS OF THE BORROWER'S PROBLEMS. TIMELY INFORMATION IS PARTICULARLY VITAL WHEN THE BORROWER'S PROBLEMS HAVE CAUSED HIM TO BECOME DELINQUENT ON HIS LOAN. ON GUARANTEED LOANS, SBA MUST DEPEND ON THE LENDING INSTITUTIONS FOR INFORMATION ON THE BORROWER'S PAYMENT STATUS, AND THE 30-DAY NOTICE REQUIREMENT SERVES THIS</w:t>
              <w:br/>
              <w:br/>
            </w:r>
            <w:r>
              <w:rPr>
                <w:rFonts w:ascii="Arial" w:eastAsia="Times New Roman" w:hAnsi="Arial" w:cs="Arial"/>
                <w:b/>
                <w:i w:val="0"/>
                <w:strike w:val="0"/>
                <w:color w:val="1D1D1D"/>
              </w:rPr>
              <w:t>Supporting section 2 of 6</w:t>
            </w:r>
            <w:r>
              <w:rPr>
                <w:rFonts w:ascii="Arial" w:eastAsia="Times New Roman" w:hAnsi="Arial" w:cs="Arial"/>
                <w:b w:val="0"/>
                <w:i w:val="0"/>
                <w:strike w:val="0"/>
                <w:color w:val="1D1D1D"/>
              </w:rPr>
              <w:br/>
              <w:t>...2 DURING A FULL-SCALE AUDIT OF SBA BY OUR OFFICE, [FN1] IT WAS DISCOVERED THAT IN MOST CASES PARTICIPATING BANKS HAVE NOT COMPLIED WITH THE REQUIRED 30-DAY NOTICE OF DEFAULT. LATE NOTICES RANGED FROM 31 DAYS TO OVER 300 DAYS, AND WERE RECEIVED, ON THE AVERAGE, ABOUT 4 MONTHS AFTER BORROWERS BECAME DELINQUENT. MOREOVER, IT APPEARS THAT AT LEAST SOME PARTICIPATING BANKS HAVE ADOPTED A POLICY OF REPORTING DELINQUENCIES TO SBA ON SOME BASIS OTHER THAN 30 DAYS, I.E., QUARTERLY, SEMIANNUALLY, OR OTHER TIME RANGES. HOWEVER, SBA'S STATED POLICY IS NOT</w:t>
              <w:br/>
              <w:br/>
            </w:r>
            <w:r>
              <w:rPr>
                <w:rFonts w:ascii="Arial" w:eastAsia="Times New Roman" w:hAnsi="Arial" w:cs="Arial"/>
                <w:b/>
                <w:i w:val="0"/>
                <w:strike w:val="0"/>
                <w:color w:val="1D1D1D"/>
              </w:rPr>
              <w:t>Supporting section 3 of 6</w:t>
            </w:r>
            <w:r>
              <w:rPr>
                <w:rFonts w:ascii="Arial" w:eastAsia="Times New Roman" w:hAnsi="Arial" w:cs="Arial"/>
                <w:b w:val="0"/>
                <w:i w:val="0"/>
                <w:strike w:val="0"/>
                <w:color w:val="1D1D1D"/>
              </w:rPr>
              <w:br/>
              <w:t>...1 UNDER SMALL BUSINESS ADMINISTRATION (SBA) ‘SECTION 7(A) BUSINESS LOAN PROGRAM, ‘ AUTHORIZED BY 15 U.S.C. SEC. 636, REQUIREMENT IN STATUTORY REGULATIONS AND LOAN GUARANTY AGREEMENT THAT LENDER NOTIFY SBA WITHIN 30 DAYS OF BORROWER'S DEFAULT IN ORDER TO DEMAND SBA PURCHASE OF GUARANTEED LOAN CONSTITUTES A MATERIAL AND LEGALLY BINDING ELEMENT IN CONTRACTUAL RELATIONSHIP BETWEEN SBA AND LENDING INSTITUTION. THEREFORE, SBA CANNOT WAIVE NONCOMPLIANCE WITH SUCH REQUIREMENT AND LACKS AUTHORITY TO PURCHASE LOAN FOR WHICH REQUIRED 30-DAY NOTICE HAS</w:t>
              <w:br/>
              <w:br/>
            </w:r>
            <w:r>
              <w:rPr>
                <w:rFonts w:ascii="Arial" w:eastAsia="Times New Roman" w:hAnsi="Arial" w:cs="Arial"/>
                <w:b/>
                <w:i w:val="0"/>
                <w:strike w:val="0"/>
                <w:color w:val="1D1D1D"/>
              </w:rPr>
              <w:t>Supporting section 4 of 6</w:t>
            </w:r>
            <w:r>
              <w:rPr>
                <w:rFonts w:ascii="Arial" w:eastAsia="Times New Roman" w:hAnsi="Arial" w:cs="Arial"/>
                <w:b w:val="0"/>
                <w:i w:val="0"/>
                <w:strike w:val="0"/>
                <w:color w:val="1D1D1D"/>
              </w:rPr>
              <w:br/>
              <w:t>...2 PARAGRAPH 7 OF THE CURRENT LOAN GUARANTY AGREEMENT (SBA FORM 750) - WHICH APPARENTLY COVERS MOST OF THE GUARANTEES NOW IN EFFECT - PROVIDES AS FOLLOWS WITH RESPECT TO DEFAULT NOTICES:2‘LENDER SHALL NOTIFY SBA IN WRITING WITHIN 30 DAYS OF ANY UNCURED DEFAULT BY A BORROWER IN MAKING PAYMENT WHEN DUE OF ANY INSTALLMENT OF PRINCIPAL OR INTEREST ON ANY NOTE. IF SUCH DEFAULT CONTINUES UNCURED FOR 60 DAYS (OR LESS, IF SBA AGREES), AND IF LENDER SHALL HAVE DULY NOTIFIED SBA OF THE DEFAULT, LENDER MAY DEMAND IN WRITING THAT SBA PURCHASE THE GUARANTEED</w:t>
              <w:br/>
              <w:br/>
            </w:r>
            <w:r>
              <w:rPr>
                <w:rFonts w:ascii="Arial" w:eastAsia="Times New Roman" w:hAnsi="Arial" w:cs="Arial"/>
                <w:b/>
                <w:i w:val="0"/>
                <w:strike w:val="0"/>
                <w:color w:val="1D1D1D"/>
              </w:rPr>
              <w:t>Supporting section 5 of 6</w:t>
            </w:r>
            <w:r>
              <w:rPr>
                <w:rFonts w:ascii="Arial" w:eastAsia="Times New Roman" w:hAnsi="Arial" w:cs="Arial"/>
                <w:b w:val="0"/>
                <w:i w:val="0"/>
                <w:strike w:val="0"/>
                <w:color w:val="1D1D1D"/>
              </w:rPr>
              <w:br/>
              <w:t>...1 SPECIFICALLY, THE INSTANT PROBLEM RELATES TO SBA'S TREATMENT OF THE REQUIREMENT FOR NOTIFICATION OF DEFAULTS UNDER ‘SIMPLIFIED BLANKET GUARANTEED LOANS,‘ PROVIDED FOR IN SBA REGULATIONS, 13 C.F.R. SEC. 122.10(B)(1) (1975), AS FOLLOWS:1‘SIMPLIFIED BLANKET GUARANTEED LOANS ARE LOANS MADE BY FINANCIAL INSTITUTIONS UNDER A GUARANTY AGREEMENT BETWEEN SBA AND THE LENDING INSTITUTION WHICH IS APPLICABLE TO FUTURE LOANS TO SMALL BUSINESS CONCERNS AS AUTHORIZED BY SBA. UNDER SUCH A GUARANTY AGREEMENT, SBA IS OBLIGATED TO PURCHASE NOT MORE THAN 90 PERCENT</w:t>
              <w:br/>
              <w:br/>
            </w:r>
            <w:r>
              <w:rPr>
                <w:rFonts w:ascii="Arial" w:eastAsia="Times New Roman" w:hAnsi="Arial" w:cs="Arial"/>
                <w:b/>
                <w:i w:val="0"/>
                <w:strike w:val="0"/>
                <w:color w:val="1D1D1D"/>
              </w:rPr>
              <w:t>Supporting section 6 of 6</w:t>
            </w:r>
            <w:r>
              <w:rPr>
                <w:rFonts w:ascii="Arial" w:eastAsia="Times New Roman" w:hAnsi="Arial" w:cs="Arial"/>
                <w:b w:val="0"/>
                <w:i w:val="0"/>
                <w:strike w:val="0"/>
                <w:color w:val="1D1D1D"/>
              </w:rPr>
              <w:br/>
              <w:t>...2‘LENDER MUST NOTIFY SBA IN WRITING (PREFERABLY BY USING SBA FORM 1071) OF DEFAULT IN PAYMENT OF PRINCIPAL OR INTEREST ON ANY LOAN, WITHIN 30 DAYS FOLLOWING THE DATE DUE. IN THE EVENT THE AGENCY RECEIVES A REQUEST TO PURCHASE THE GUARANTEED PORTION OF A LOAN IN DEFAULT ON WHICH AN SBA FORM 1071 (OR OTHER WRITTEN NOTICE) HAS NOT BEEN SUBMITTED, A DETERMINATION MUST BE MADE AS TO WHETHER OR NOT THAT FAILURE RESULTED IN ANY SUBSTANTIAL LOSS TO THE AGENCY AND/OR THE BORROWER. IF THE AGENCY AND/OR THE BORROWER DID SUFFER ANY SUBSTANTIAL LOSS, CONSIDERATION</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8</w:t>
      </w:r>
      <w:r w:rsidRPr="00755B14">
        <w:rPr>
          <w:b/>
          <w:bCs/>
        </w:rPr>
        <w:t>.</w:t>
      </w:r>
      <w:r>
        <w:t xml:space="preserve"> </w:t>
      </w:r>
      <w:r>
        <w:t xml:space="preserve"> </w:t>
      </w:r>
      <w:hyperlink r:id="rId19" w:history="1">
        <w:r>
          <w:rPr>
            <w:rStyle w:val="Hyperlink"/>
            <w:b/>
            <w:i w:val="0"/>
            <w:strike w:val="0"/>
            <w:color w:val="467886"/>
            <w:u w:val="single"/>
          </w:rPr>
          <w:t>Government Funding California Business and Industrial Corporation Petitioner v. Small Business Administration Agency</w:t>
        </w:r>
      </w:hyperlink>
    </w:p>
    <w:p w:rsidR="000911FB" w:rsidRPr="00C67A9D" w:rsidP="000911FB" w14:textId="43CA2655">
      <w:pPr>
        <w:pStyle w:val="Report-Metadata"/>
        <w:rPr>
          <w:b w:val="0"/>
          <w:bCs w:val="0"/>
        </w:rPr>
      </w:pPr>
      <w:r>
        <w:rPr>
          <w:b/>
          <w:i w:val="0"/>
          <w:strike w:val="0"/>
        </w:rPr>
        <w:t>S.B.A.</w:t>
      </w:r>
      <w:r w:rsidRPr="00C67A9D">
        <w:rPr>
          <w:b w:val="0"/>
          <w:bCs w:val="0"/>
        </w:rPr>
        <w:t xml:space="preserve">   •   </w:t>
      </w:r>
      <w:r>
        <w:rPr>
          <w:b/>
          <w:i w:val="0"/>
          <w:strike w:val="0"/>
        </w:rPr>
        <w:t>April 01, 1992</w:t>
      </w:r>
      <w:r w:rsidRPr="00C67A9D">
        <w:rPr>
          <w:b w:val="0"/>
          <w:bCs w:val="0"/>
        </w:rPr>
        <w:t xml:space="preserve">   •   </w:t>
      </w:r>
      <w:r>
        <w:rPr>
          <w:b/>
          <w:i w:val="0"/>
          <w:strike w:val="0"/>
        </w:rPr>
        <w:t>SBA No. 708</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3</w:t>
            </w:r>
            <w:r>
              <w:rPr>
                <w:rFonts w:ascii="Arial" w:eastAsia="Times New Roman" w:hAnsi="Arial" w:cs="Arial"/>
                <w:b w:val="0"/>
                <w:i w:val="0"/>
                <w:strike w:val="0"/>
                <w:color w:val="1D1D1D"/>
              </w:rPr>
              <w:br/>
              <w:t>...8 SBA then submitted that “the petition avoids, as it must, any defense of using aliases when dealing with SBA employees on loans guaranteed by the Agency.” It argued that the Petitioner cannot justify using aliases with SBA for the stated purposes of increasing efficiency in collection matters when, in effect, it creates confusion and impedes efficiency, nor can it be justified on the basis of its stated concerns for employee safety. The Agency also pointed out that loan servicing and liquidation matters require close cooperation between the</w:t>
              <w:br/>
              <w:br/>
            </w:r>
            <w:r>
              <w:rPr>
                <w:rFonts w:ascii="Arial" w:eastAsia="Times New Roman" w:hAnsi="Arial" w:cs="Arial"/>
                <w:b/>
                <w:i w:val="0"/>
                <w:strike w:val="0"/>
                <w:color w:val="1D1D1D"/>
              </w:rPr>
              <w:t>Supporting section 2 of 3</w:t>
            </w:r>
            <w:r>
              <w:rPr>
                <w:rFonts w:ascii="Arial" w:eastAsia="Times New Roman" w:hAnsi="Arial" w:cs="Arial"/>
                <w:b w:val="0"/>
                <w:i w:val="0"/>
                <w:strike w:val="0"/>
                <w:color w:val="1D1D1D"/>
              </w:rPr>
              <w:br/>
              <w:t>...1 By letter dated December 27, 1991, Oscar Wright (Wright), Regional Administrator of the San Francisco Regional Office of the Small Business Administration (SBA or Agency), advised Sidney Moray (Moray), Chief Executive Officer of Government Funding California Business and Industrial Corporation (Government Funding or Petitioner), that Government Funding's status as a Preferred Lender within the jurisdiction of the SBA Fresno District Office was revoked. Government Funding was also advised by Wright that, pursuant to 13 CFR 120.406, this revocation</w:t>
              <w:br/>
              <w:br/>
            </w:r>
            <w:r>
              <w:rPr>
                <w:rFonts w:ascii="Arial" w:eastAsia="Times New Roman" w:hAnsi="Arial" w:cs="Arial"/>
                <w:b/>
                <w:i w:val="0"/>
                <w:strike w:val="0"/>
                <w:color w:val="1D1D1D"/>
              </w:rPr>
              <w:t>Supporting section 3 of 3</w:t>
            </w:r>
            <w:r>
              <w:rPr>
                <w:rFonts w:ascii="Arial" w:eastAsia="Times New Roman" w:hAnsi="Arial" w:cs="Arial"/>
                <w:b w:val="0"/>
                <w:i w:val="0"/>
                <w:strike w:val="0"/>
                <w:color w:val="1D1D1D"/>
              </w:rPr>
              <w:br/>
              <w:t>...2 On January 27, 1992, Government Funding timely filed a Petition for Review of this revocation determination by SBA with the Office of Hearings and Appeals (OHA). [FN3] After providing a historical background of its lending operations and its participation in SBA loan programs, the Petitioner stated that:2 It is common practice in the debt collection and servicing business for individual employees to use code names in their work. This practice serves two purposes. First, the use of a code name provides a means to segregate and prioritize incoming</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9</w:t>
      </w:r>
      <w:r w:rsidRPr="00755B14">
        <w:rPr>
          <w:b/>
          <w:bCs/>
        </w:rPr>
        <w:t>.</w:t>
      </w:r>
      <w:r>
        <w:t xml:space="preserve"> </w:t>
      </w:r>
      <w:hyperlink r:id="rId20" w:history="1">
        <w:r>
          <w:pict>
            <v:shape id="_x0000_i1042" type="#_x0000_t75" alt="KeyCite Yellow Flag" style="width:16pt;height:16pt">
              <v:imagedata r:id="rId6" o:title=""/>
            </v:shape>
          </w:pict>
        </w:r>
      </w:hyperlink>
      <w:r>
        <w:t xml:space="preserve"> </w:t>
      </w:r>
      <w:hyperlink r:id="rId21" w:history="1">
        <w:r>
          <w:rPr>
            <w:rStyle w:val="Hyperlink"/>
            <w:b/>
            <w:i w:val="0"/>
            <w:strike w:val="0"/>
            <w:color w:val="467886"/>
            <w:u w:val="single"/>
          </w:rPr>
          <w:t>Honorable Christopher S. Bond</w:t>
        </w:r>
      </w:hyperlink>
    </w:p>
    <w:p w:rsidR="000911FB" w:rsidRPr="00C67A9D" w:rsidP="000911FB" w14:textId="43CA2655">
      <w:pPr>
        <w:pStyle w:val="Report-Metadata"/>
        <w:rPr>
          <w:b w:val="0"/>
          <w:bCs w:val="0"/>
        </w:rPr>
      </w:pPr>
      <w:r>
        <w:rPr>
          <w:b/>
          <w:i w:val="0"/>
          <w:strike w:val="0"/>
        </w:rPr>
        <w:t>Comp.Gen.</w:t>
      </w:r>
      <w:r w:rsidRPr="00C67A9D">
        <w:rPr>
          <w:b w:val="0"/>
          <w:bCs w:val="0"/>
        </w:rPr>
        <w:t xml:space="preserve">   •   </w:t>
      </w:r>
      <w:r>
        <w:rPr>
          <w:b/>
          <w:i w:val="0"/>
          <w:strike w:val="0"/>
        </w:rPr>
        <w:t>January 15, 2004</w:t>
      </w:r>
      <w:r w:rsidRPr="00C67A9D">
        <w:rPr>
          <w:b w:val="0"/>
          <w:bCs w:val="0"/>
        </w:rPr>
        <w:t xml:space="preserve">   •   </w:t>
      </w:r>
      <w:r>
        <w:rPr>
          <w:b/>
          <w:i w:val="0"/>
          <w:strike w:val="0"/>
        </w:rPr>
        <w:t>B- 300248</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...2 Although SBA has delegated certain of its loan authority to certified and PLP lenders, SBA remains responsible for the activities of these lenders. SBA carries out this responsibility by periodically reviewing and renewing lenders' eligibility status.[FN2] With respect to PLP lenders in particular, SBA is specifically required by the Small Business Programs Improvement Act of 1996, Pub. L. No. 104–208, § 103(h), 110 Stat. 3009, 15 U.S.C. § 634 note, to have a standard program mandating lender assessments at least annually; it has implemented</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10</w:t>
      </w:r>
      <w:r w:rsidRPr="00755B14">
        <w:rPr>
          <w:b/>
          <w:bCs/>
        </w:rPr>
        <w:t>.</w:t>
      </w:r>
      <w:r>
        <w:t xml:space="preserve"> </w:t>
      </w:r>
      <w:hyperlink r:id="rId22" w:history="1">
        <w:r>
          <w:pict>
            <v:shape id="_x0000_i1043" type="#_x0000_t75" alt="KeyCite Yellow Flag" style="width:16pt;height:16pt">
              <v:imagedata r:id="rId6" o:title=""/>
            </v:shape>
          </w:pict>
        </w:r>
      </w:hyperlink>
      <w:r>
        <w:t xml:space="preserve"> </w:t>
      </w:r>
      <w:hyperlink r:id="rId23" w:history="1">
        <w:r>
          <w:rPr>
            <w:rStyle w:val="Hyperlink"/>
            <w:b/>
            <w:i w:val="0"/>
            <w:strike w:val="0"/>
            <w:color w:val="467886"/>
            <w:u w:val="single"/>
          </w:rPr>
          <w:t>Construction and effect of UCC art 9, dealing with secured transactions, sales of accounts, contract rights, and chattel paper</w:t>
        </w:r>
      </w:hyperlink>
    </w:p>
    <w:p w:rsidR="000911FB" w:rsidRPr="00C67A9D" w:rsidP="000911FB" w14:textId="43CA2655">
      <w:pPr>
        <w:pStyle w:val="Report-Metadata"/>
        <w:rPr>
          <w:b w:val="0"/>
          <w:bCs w:val="0"/>
        </w:rPr>
      </w:pPr>
      <w:r>
        <w:rPr>
          <w:b/>
          <w:i w:val="0"/>
          <w:strike w:val="0"/>
        </w:rPr>
        <w:t>American Law Reports ALR3d</w:t>
      </w:r>
      <w:r w:rsidRPr="00C67A9D">
        <w:rPr>
          <w:b w:val="0"/>
          <w:bCs w:val="0"/>
        </w:rPr>
        <w:t xml:space="preserve">   •   </w:t>
      </w:r>
      <w:r>
        <w:rPr>
          <w:b/>
          <w:i w:val="0"/>
          <w:strike w:val="0"/>
        </w:rPr>
        <w:t>30 A.L.R.3d 9</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...In action by United States on behalf of Small Business Administration (SBA) against guarantors of bank loan in which SBA participated, in which action guarantors raised defense of alleged breach by SBA of duty of good faith owed to guarantors, where (1) bank made $175,000 loan to debtor corporation that (a) was secured by pledge of debtor's assets, and (b) was also guaranteed by defendants, (2) in exchange for SBA's guarantee of such loan, bank assigned to SBA loan note and all rights related thereto, including collateral for loan and defendants'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11</w:t>
      </w:r>
      <w:r w:rsidRPr="00755B14">
        <w:rPr>
          <w:b/>
          <w:bCs/>
        </w:rPr>
        <w:t>.</w:t>
      </w:r>
      <w:r>
        <w:t xml:space="preserve"> </w:t>
      </w:r>
      <w:r>
        <w:t xml:space="preserve"> </w:t>
      </w:r>
      <w:hyperlink r:id="rId24" w:history="1">
        <w:r>
          <w:rPr>
            <w:rStyle w:val="Hyperlink"/>
            <w:b/>
            <w:i w:val="0"/>
            <w:strike w:val="0"/>
            <w:color w:val="467886"/>
            <w:u w:val="single"/>
          </w:rPr>
          <w:t>What is "commercially reasonable" disposition of collateral required by UCC § 9-504(3)</w:t>
        </w:r>
      </w:hyperlink>
    </w:p>
    <w:p w:rsidR="000911FB" w:rsidRPr="00C67A9D" w:rsidP="000911FB" w14:textId="43CA2655">
      <w:pPr>
        <w:pStyle w:val="Report-Metadata"/>
        <w:rPr>
          <w:b w:val="0"/>
          <w:bCs w:val="0"/>
        </w:rPr>
      </w:pPr>
      <w:r>
        <w:rPr>
          <w:b/>
          <w:i w:val="0"/>
          <w:strike w:val="0"/>
        </w:rPr>
        <w:t>American Law Reports ALR4th</w:t>
      </w:r>
      <w:r w:rsidRPr="00C67A9D">
        <w:rPr>
          <w:b w:val="0"/>
          <w:bCs w:val="0"/>
        </w:rPr>
        <w:t xml:space="preserve">   •   </w:t>
      </w:r>
      <w:r>
        <w:rPr>
          <w:b/>
          <w:i w:val="0"/>
          <w:strike w:val="0"/>
        </w:rPr>
        <w:t>7 A.L.R.4th 308</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...In action by United States on behalf of Small Business Administration (SBA) against guarantors of bank loan in which SBA participated, in which action guarantors raised defense of alleged breach by SBA of duty of good faith owed to guarantors, where (1) bank made $175,000 loan to debtor corporation that (a) was secured by pledge of debtor's assets, and (b) was also guaranteed by defendants, (2) in exchange for SBA's guarantee of such loan, bank assigned to SBA loan note and all rights related thereto, including collateral for loan and defendants'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12</w:t>
      </w:r>
      <w:r w:rsidRPr="00755B14">
        <w:rPr>
          <w:b/>
          <w:bCs/>
        </w:rPr>
        <w:t>.</w:t>
      </w:r>
      <w:r>
        <w:t xml:space="preserve"> </w:t>
      </w:r>
      <w:r>
        <w:t xml:space="preserve"> </w:t>
      </w:r>
      <w:hyperlink r:id="rId25" w:history="1">
        <w:r>
          <w:rPr>
            <w:rStyle w:val="Hyperlink"/>
            <w:b/>
            <w:i w:val="0"/>
            <w:strike w:val="0"/>
            <w:color w:val="467886"/>
            <w:u w:val="single"/>
          </w:rPr>
          <w:t>Small Business Owned and Controlled by Socially or Economically Disadvantaged Person Under Small Business Act § 8(a) (15 U.S.C.A. § 637)</w:t>
        </w:r>
      </w:hyperlink>
    </w:p>
    <w:p w:rsidR="000911FB" w:rsidRPr="00C67A9D" w:rsidP="000911FB" w14:textId="43CA2655">
      <w:pPr>
        <w:pStyle w:val="Report-Metadata"/>
        <w:rPr>
          <w:b w:val="0"/>
          <w:bCs w:val="0"/>
        </w:rPr>
      </w:pPr>
      <w:r>
        <w:rPr>
          <w:b/>
          <w:i w:val="0"/>
          <w:strike w:val="0"/>
        </w:rPr>
        <w:t>American Law Reports ALR Federal 3d</w:t>
      </w:r>
      <w:r w:rsidRPr="00C67A9D">
        <w:rPr>
          <w:b w:val="0"/>
          <w:bCs w:val="0"/>
        </w:rPr>
        <w:t xml:space="preserve">   •   </w:t>
      </w:r>
      <w:r>
        <w:rPr>
          <w:b/>
          <w:i w:val="0"/>
          <w:strike w:val="0"/>
        </w:rPr>
        <w:t>33 A.L.R. Fed. 3d Art. 1</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...The Small Business Administration (SBA) did not violate a borrower's due process rights when it refused to grant a loan deferral and instead accelerated loans and brought an action to recover on the loans. The SBA was not required to hold a hearing or to issue a written decision when denying a request for moratorium, and a denial of the application for moratorium was proper, given the borrower's insolvency.[17]...</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...U.S. v. Applied Computer Services, Inc., 5 F. Supp. 2 d 1223 (D. Kan. 1998) Conclusory allegations that the Small Business Administration (SBA) failed to comply with its duty to provide assistance to a borrower, which was a certified section 8(a) minority small business (15 U.S.C.A. § 637) did not preclude summary judgment in an action to recover on defaulted loans, the court held. The defendant computer services company (ACS) argued that it was entitled to certain loan servicing priorities because of its status as a certified minority small</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13</w:t>
      </w:r>
      <w:r w:rsidRPr="00755B14">
        <w:rPr>
          <w:b/>
          <w:bCs/>
        </w:rPr>
        <w:t>.</w:t>
      </w:r>
      <w:r>
        <w:t xml:space="preserve"> </w:t>
      </w:r>
      <w:r>
        <w:t xml:space="preserve"> </w:t>
      </w:r>
      <w:hyperlink r:id="rId26" w:history="1">
        <w:r>
          <w:rPr>
            <w:rStyle w:val="Hyperlink"/>
            <w:b/>
            <w:i w:val="0"/>
            <w:strike w:val="0"/>
            <w:color w:val="467886"/>
            <w:u w:val="single"/>
          </w:rPr>
          <w:t>Litigation Concerning Mortgage Foreclosures</w:t>
        </w:r>
      </w:hyperlink>
    </w:p>
    <w:p w:rsidR="000911FB" w:rsidRPr="00C67A9D" w:rsidP="000911FB" w14:textId="43CA2655">
      <w:pPr>
        <w:pStyle w:val="Report-Metadata"/>
        <w:rPr>
          <w:b w:val="0"/>
          <w:bCs w:val="0"/>
        </w:rPr>
      </w:pPr>
      <w:r>
        <w:rPr>
          <w:b/>
          <w:i w:val="0"/>
          <w:strike w:val="0"/>
        </w:rPr>
        <w:t>American Jurisprudence Trials</w:t>
      </w:r>
      <w:r w:rsidRPr="00C67A9D">
        <w:rPr>
          <w:b w:val="0"/>
          <w:bCs w:val="0"/>
        </w:rPr>
        <w:t xml:space="preserve">   •   </w:t>
      </w:r>
      <w:r>
        <w:rPr>
          <w:b/>
          <w:i w:val="0"/>
          <w:strike w:val="0"/>
        </w:rPr>
        <w:t>125 AMJUR TRIALS 541</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...When there is a default in the terms of the loan, the lender or mortgagee is usually permitted to accelerate the balance of the loan. First, however, in most jurisdictions, the borrower or mortgagor must be given notice that the loan is in default. Mortgage foreclosure proceedings cannot be commenced unless the borrower has been properly notified in writing of the default. The terms of the loan documents may provide additional requirements regarding notice. The practitioner should familiarize himself or herself with the relevant documents concerning</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14</w:t>
      </w:r>
      <w:r w:rsidRPr="00755B14">
        <w:rPr>
          <w:b/>
          <w:bCs/>
        </w:rPr>
        <w:t>.</w:t>
      </w:r>
      <w:r>
        <w:t xml:space="preserve"> </w:t>
      </w:r>
      <w:r>
        <w:t xml:space="preserve"> </w:t>
      </w:r>
      <w:hyperlink r:id="rId27" w:history="1">
        <w:r>
          <w:rPr>
            <w:rStyle w:val="Hyperlink"/>
            <w:b/>
            <w:i w:val="0"/>
            <w:strike w:val="0"/>
            <w:color w:val="467886"/>
            <w:u w:val="single"/>
          </w:rPr>
          <w:t>CFPB publishes annual report on FDCPA findings from 2024</w:t>
        </w:r>
      </w:hyperlink>
    </w:p>
    <w:p>
      <w:pPr>
        <w:pStyle w:val="Report-Metadata"/>
        <w:keepNext w:val="0"/>
        <w:keepLines w:val="0"/>
        <w:pageBreakBefore w:val="0"/>
        <w:widowControl/>
        <w:spacing w:before="0" w:after="0" w:line="240" w:lineRule="auto"/>
        <w:ind w:left="720" w:right="0" w:firstLine="0"/>
        <w:contextualSpacing w:val="0"/>
        <w:jc w:val="left"/>
        <w:outlineLvl w:val="9"/>
        <w:rPr>
          <w:b w:val="0"/>
          <w:i w:val="0"/>
          <w:strike w:val="0"/>
        </w:rPr>
      </w:pPr>
      <w:r>
        <w:rPr>
          <w:rFonts w:ascii="Arial" w:eastAsia="Times New Roman" w:hAnsi="Arial" w:cs="Arial"/>
          <w:b/>
          <w:i w:val="0"/>
          <w:strike w:val="0"/>
          <w:color w:val="1D1D1D"/>
          <w:sz w:val="18"/>
        </w:rPr>
        <w:t>Orrick, Herrington &amp; Sutcliffe LLP</w:t>
      </w:r>
    </w:p>
    <w:p w:rsidR="000911FB" w:rsidRPr="00C67A9D" w:rsidP="000911FB" w14:textId="43CA2655">
      <w:pPr>
        <w:pStyle w:val="Report-Metadata"/>
        <w:rPr>
          <w:b w:val="0"/>
          <w:bCs w:val="0"/>
        </w:rPr>
      </w:pPr>
      <w:r>
        <w:rPr>
          <w:b/>
          <w:i w:val="0"/>
          <w:strike w:val="0"/>
        </w:rPr>
        <w:t>JD Supra</w:t>
      </w:r>
      <w:r w:rsidRPr="00C67A9D">
        <w:rPr>
          <w:b w:val="0"/>
          <w:bCs w:val="0"/>
        </w:rPr>
        <w:t xml:space="preserve">   •   </w:t>
      </w:r>
      <w:r>
        <w:rPr>
          <w:b/>
          <w:i w:val="0"/>
          <w:strike w:val="0"/>
        </w:rPr>
        <w:t>2025 WLNR 32632109</w:t>
      </w:r>
      <w:r w:rsidRPr="00C67A9D">
        <w:rPr>
          <w:b w:val="0"/>
          <w:bCs w:val="0"/>
        </w:rPr>
        <w:t xml:space="preserve">   •   </w:t>
      </w:r>
      <w:r>
        <w:rPr>
          <w:b/>
          <w:i w:val="0"/>
          <w:strike w:val="0"/>
        </w:rPr>
        <w:t>December 8, 2025</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...Examiners found that some debt collectors failed to provide required validation notices within five days of initial contact, as required by Regulation F. This issue was also common among student loan debt collectors. Examiners further identified violations involving false or misleading representations, including using false business names and failing to provide key disclosures. The CFPB filed three amicus briefs in FDCPA cases in 2024, with one case decided during that year. The FTC was the only agency to announce any public enforcement actions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pPr>
        <w:pStyle w:val="Report-SubheadLvl1"/>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sz w:val="26"/>
        </w:rPr>
        <w:t>Additional sources</w:t>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rPr>
        <w:t>These sources are not cited in your report, but can provide context that may be helpful.</w:t>
      </w:r>
    </w:p>
    <w:p w:rsidR="000911FB" w:rsidRPr="00E5063B" w:rsidP="000911FB" w14:paraId="5C581A35" w14:textId="77777777">
      <w:pPr>
        <w:spacing w:before="113" w:after="113"/>
        <w:rPr>
          <w:rFonts w:cs="Arial"/>
          <w:b/>
          <w:sz w:val="16"/>
        </w:rPr>
      </w:pPr>
    </w:p>
    <w:p w:rsidR="000911FB" w:rsidP="000911FB" w14:paraId="3AF2579E" w14:textId="03B1B35D">
      <w:pPr>
        <w:pStyle w:val="Report-Body"/>
      </w:pPr>
      <w:r>
        <w:rPr>
          <w:b/>
          <w:i w:val="0"/>
          <w:strike w:val="0"/>
        </w:rPr>
        <w:t>15</w:t>
      </w:r>
      <w:r w:rsidRPr="00755B14">
        <w:rPr>
          <w:b/>
          <w:bCs/>
        </w:rPr>
        <w:t>.</w:t>
      </w:r>
      <w:r w:rsidRPr="00E5063B">
        <w:t xml:space="preserve"> </w:t>
      </w:r>
      <w:r>
        <w:t xml:space="preserve"> </w:t>
      </w:r>
      <w:hyperlink r:id="rId28" w:history="1">
        <w:r>
          <w:rPr>
            <w:rStyle w:val="Hyperlink"/>
            <w:b/>
            <w:i w:val="0"/>
            <w:strike w:val="0"/>
            <w:color w:val="467886"/>
            <w:u w:val="single"/>
          </w:rPr>
          <w:t>Borrower Notice of Non-Payment and Request for Relief (Commercial Real Estate Loan)</w:t>
        </w:r>
      </w:hyperlink>
    </w:p>
    <w:p w:rsidR="000911FB" w:rsidRPr="00C67A9D" w:rsidP="000911FB" w14:paraId="7E18259B" w14:textId="77777777">
      <w:pPr>
        <w:pStyle w:val="Report-Metadata"/>
        <w:rPr>
          <w:b w:val="0"/>
          <w:bCs w:val="0"/>
        </w:rPr>
      </w:pPr>
      <w:r>
        <w:rPr>
          <w:b/>
          <w:i w:val="0"/>
          <w:strike w:val="0"/>
        </w:rPr>
        <w:t>Standard Document</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paraId="7F67AA02"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form of letter by a borrower notifying its lender of the borrower's cessation of payments or requesting a temporary suspension of payments under a commercial real property secured loan. This Standard Document has integrated notes with explanations and drafting tips.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16</w:t>
      </w:r>
      <w:r w:rsidRPr="00755B14">
        <w:rPr>
          <w:b/>
          <w:bCs/>
        </w:rPr>
        <w:t>.</w:t>
      </w:r>
      <w:r w:rsidRPr="00E5063B">
        <w:t xml:space="preserve"> </w:t>
      </w:r>
      <w:r>
        <w:t xml:space="preserve"> </w:t>
      </w:r>
      <w:hyperlink r:id="rId29" w:history="1">
        <w:r>
          <w:rPr>
            <w:rStyle w:val="Hyperlink"/>
            <w:b/>
            <w:i w:val="0"/>
            <w:strike w:val="0"/>
            <w:color w:val="467886"/>
            <w:u w:val="single"/>
          </w:rPr>
          <w:t>Subordination Agreement: Lending</w:t>
        </w:r>
      </w:hyperlink>
    </w:p>
    <w:p w:rsidR="000911FB" w:rsidRPr="00C67A9D" w:rsidP="000911FB" w14:textId="77777777">
      <w:pPr>
        <w:pStyle w:val="Report-Metadata"/>
        <w:rPr>
          <w:b w:val="0"/>
          <w:bCs w:val="0"/>
        </w:rPr>
      </w:pPr>
      <w:r>
        <w:rPr>
          <w:b/>
          <w:i w:val="0"/>
          <w:strike w:val="0"/>
        </w:rPr>
        <w:t>Standard Document</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Standard Document that sets out the terms under which debt (subordinated debt) owed by a borrower to one creditor (subordinated creditor) is made subordinate to debt owed by the borrower to another creditor (senior debt). This Standard Document is intended for situations where the original debt instruments for the subordinated debt do not contain subordination provisions. It outlines crucial aspects such as the agreement to subordinate, the treatment of the subordinated debt during events such as liquidation, dissolution, or bankruptcy proceedings,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17</w:t>
      </w:r>
      <w:r w:rsidRPr="00755B14">
        <w:rPr>
          <w:b/>
          <w:bCs/>
        </w:rPr>
        <w:t>.</w:t>
      </w:r>
      <w:r w:rsidRPr="00E5063B">
        <w:t xml:space="preserve"> </w:t>
      </w:r>
      <w:r>
        <w:t xml:space="preserve"> </w:t>
      </w:r>
      <w:hyperlink r:id="rId30" w:history="1">
        <w:r>
          <w:rPr>
            <w:rStyle w:val="Hyperlink"/>
            <w:b/>
            <w:i w:val="0"/>
            <w:strike w:val="0"/>
            <w:color w:val="467886"/>
            <w:u w:val="single"/>
          </w:rPr>
          <w:t>Promissory Note: Line of Credit</w:t>
        </w:r>
      </w:hyperlink>
    </w:p>
    <w:p w:rsidR="000911FB" w:rsidRPr="00C67A9D" w:rsidP="000911FB" w14:textId="77777777">
      <w:pPr>
        <w:pStyle w:val="Report-Metadata"/>
        <w:rPr>
          <w:b w:val="0"/>
          <w:bCs w:val="0"/>
        </w:rPr>
      </w:pPr>
      <w:r>
        <w:rPr>
          <w:b/>
          <w:i w:val="0"/>
          <w:strike w:val="0"/>
        </w:rPr>
        <w:t>Standard Document</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Standard Document that provides a form of promissory note for an uncommitted line of credit when a lender uses a confirmation letter instead of a separate line of credit agreement and the parties do not contemplate a negotiable instrument. It sets out all the terms governing advances under the line of credit (such as payment provisions, borrowing mechanics, and various interest rate options including Term SOFR), incorporates representations and warranties from the borrower, details events of default, lender's remedies, and dispute resolution,</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F3725" w14:paraId="7E7DF2DC" w14:textId="29C35765">
      <w:pPr>
        <w:pStyle w:val="Report-Body"/>
      </w:pP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000000"/>
          <w:sz w:val="36"/>
        </w:rPr>
        <w:t>Research Steps</w:t>
        <w:br/>
      </w:r>
    </w:p>
    <w:p>
      <w:pPr>
        <w:numPr>
          <w:ilvl w:val="0"/>
          <w:numId w:val="34"/>
        </w:numPr>
        <w:rPr>
          <w:b w:val="0"/>
          <w:i w:val="0"/>
          <w:strike w:val="0"/>
        </w:rPr>
      </w:pPr>
      <w:r>
        <w:rPr>
          <w:rFonts w:ascii="Arial" w:eastAsia="Times New Roman" w:hAnsi="Arial" w:cs="Arial"/>
          <w:b w:val="0"/>
          <w:i w:val="0"/>
          <w:strike w:val="0"/>
          <w:color w:val="1D1D1D"/>
        </w:rPr>
        <w:t>Researching federal debt collection notice requirements under the Fair Debt Collection Practices Act (FDCPA), 15 U.S.C. § 1692g, specifically examining what constitutes adequate notice to borrowers regarding debt collection activities and default risk.</w:t>
      </w:r>
    </w:p>
    <w:p>
      <w:pPr>
        <w:numPr>
          <w:ilvl w:val="1"/>
          <w:numId w:val="34"/>
        </w:numPr>
        <w:rPr>
          <w:b w:val="0"/>
          <w:i w:val="0"/>
          <w:strike w:val="0"/>
        </w:rPr>
      </w:pPr>
      <w:r>
        <w:rPr>
          <w:rFonts w:ascii="Arial" w:eastAsia="Times New Roman" w:hAnsi="Arial" w:cs="Arial"/>
          <w:b w:val="0"/>
          <w:i w:val="0"/>
          <w:strike w:val="0"/>
          <w:color w:val="1D1D1D"/>
        </w:rPr>
        <w:t>FDCPA requires specific written notice within 5 days containing debt amount, creditor name, dispute rights, and verification procedures (15 U.S.C. § 1692g). Generic "check your account" emails would not satisfy these explicit statutory requirements</w:t>
      </w:r>
    </w:p>
    <w:p>
      <w:pPr>
        <w:numPr>
          <w:ilvl w:val="0"/>
          <w:numId w:val="34"/>
        </w:numPr>
        <w:rPr>
          <w:b w:val="0"/>
          <w:i w:val="0"/>
          <w:strike w:val="0"/>
        </w:rPr>
      </w:pPr>
      <w:r>
        <w:rPr>
          <w:rFonts w:ascii="Arial" w:eastAsia="Times New Roman" w:hAnsi="Arial" w:cs="Arial"/>
          <w:b w:val="0"/>
          <w:i w:val="0"/>
          <w:strike w:val="0"/>
          <w:color w:val="1D1D1D"/>
        </w:rPr>
        <w:t>Analyzing SBA loan servicing and notice requirements under 13 C.F.R. Part 120, focusing on lender obligations to provide clear notification when loan deferment periods end and payment obligations resume.</w:t>
      </w:r>
    </w:p>
    <w:p>
      <w:pPr>
        <w:numPr>
          <w:ilvl w:val="1"/>
          <w:numId w:val="34"/>
        </w:numPr>
        <w:rPr>
          <w:b w:val="0"/>
          <w:i w:val="0"/>
          <w:strike w:val="0"/>
        </w:rPr>
      </w:pPr>
      <w:r>
        <w:rPr>
          <w:rFonts w:ascii="Arial" w:eastAsia="Times New Roman" w:hAnsi="Arial" w:cs="Arial"/>
          <w:b w:val="0"/>
          <w:i w:val="0"/>
          <w:strike w:val="0"/>
          <w:color w:val="1D1D1D"/>
        </w:rPr>
        <w:t>Found SBA regulations requiring lenders to service loans using "prudent lending standards" and "commercially reasonable manner" (13 C.F.R. § 120.535), but no specific notice requirements for deferment termination</w:t>
      </w:r>
    </w:p>
    <w:p>
      <w:pPr>
        <w:numPr>
          <w:ilvl w:val="0"/>
          <w:numId w:val="34"/>
        </w:numPr>
        <w:rPr>
          <w:b w:val="0"/>
          <w:i w:val="0"/>
          <w:strike w:val="0"/>
        </w:rPr>
      </w:pPr>
      <w:r>
        <w:rPr>
          <w:rFonts w:ascii="Arial" w:eastAsia="Times New Roman" w:hAnsi="Arial" w:cs="Arial"/>
          <w:b w:val="0"/>
          <w:i w:val="0"/>
          <w:strike w:val="0"/>
          <w:color w:val="1D1D1D"/>
        </w:rPr>
        <w:t>Examining Third Circuit precedent interpreting adequacy of notice in debt collection contexts, particularly cases addressing whether generic communications satisfy federal notice requirements for loan default and collection proceedings.</w:t>
      </w:r>
    </w:p>
    <w:p>
      <w:pPr>
        <w:numPr>
          <w:ilvl w:val="1"/>
          <w:numId w:val="34"/>
        </w:numPr>
        <w:rPr>
          <w:b w:val="0"/>
          <w:i w:val="0"/>
          <w:strike w:val="0"/>
        </w:rPr>
      </w:pPr>
      <w:r>
        <w:rPr>
          <w:rFonts w:ascii="Arial" w:eastAsia="Times New Roman" w:hAnsi="Arial" w:cs="Arial"/>
          <w:b w:val="0"/>
          <w:i w:val="0"/>
          <w:strike w:val="0"/>
          <w:color w:val="1D1D1D"/>
        </w:rPr>
        <w:t>Third Circuit follows "least sophisticated debtor" standard for notice adequacy. Cases show notices must effectively communicate required information and cannot be overshadowed by contradictory language (Wilson v. Quadramed Corp., Sharpe v. Midland Credit Mgmt.). Generic communications likely inadequate</w:t>
      </w:r>
    </w:p>
    <w:p>
      <w:pPr>
        <w:numPr>
          <w:ilvl w:val="0"/>
          <w:numId w:val="34"/>
        </w:numPr>
        <w:rPr>
          <w:b w:val="0"/>
          <w:i w:val="0"/>
          <w:strike w:val="0"/>
        </w:rPr>
      </w:pPr>
      <w:r>
        <w:rPr>
          <w:rFonts w:ascii="Arial" w:eastAsia="Times New Roman" w:hAnsi="Arial" w:cs="Arial"/>
          <w:b w:val="0"/>
          <w:i w:val="0"/>
          <w:strike w:val="0"/>
          <w:color w:val="1D1D1D"/>
        </w:rPr>
        <w:t>Researching federal banking regulations and guidance regarding borrower notification standards when loan terms change or deferment periods expire, including OCC and other regulatory agency interpretations of adequate notice requirements.</w:t>
      </w:r>
    </w:p>
    <w:p>
      <w:pPr>
        <w:numPr>
          <w:ilvl w:val="1"/>
          <w:numId w:val="34"/>
        </w:numPr>
        <w:rPr>
          <w:b w:val="0"/>
          <w:i w:val="0"/>
          <w:strike w:val="0"/>
        </w:rPr>
      </w:pPr>
      <w:r>
        <w:rPr>
          <w:rFonts w:ascii="Arial" w:eastAsia="Times New Roman" w:hAnsi="Arial" w:cs="Arial"/>
          <w:b w:val="0"/>
          <w:i w:val="0"/>
          <w:strike w:val="0"/>
          <w:color w:val="1D1D1D"/>
        </w:rPr>
        <w:t>No specific federal banking regulations found requiring explicit notice for deferment termination. SBA regulations only require "prudent lending standards" and "commercially reasonable" practices without detailed notice specifications</w:t>
      </w:r>
    </w:p>
    <w:p>
      <w:pPr>
        <w:numPr>
          <w:ilvl w:val="0"/>
          <w:numId w:val="34"/>
        </w:numPr>
        <w:rPr>
          <w:b w:val="0"/>
          <w:i w:val="0"/>
          <w:strike w:val="0"/>
        </w:rPr>
      </w:pPr>
      <w:r>
        <w:rPr>
          <w:rFonts w:ascii="Arial" w:eastAsia="Times New Roman" w:hAnsi="Arial" w:cs="Arial"/>
          <w:b w:val="0"/>
          <w:i w:val="0"/>
          <w:strike w:val="0"/>
          <w:color w:val="1D1D1D"/>
        </w:rPr>
        <w:t>Analyzing New Jersey state law requirements for debt collection notice and fair lending practices that may supplement federal requirements, including relevant provisions of New Jersey consumer protection statutes.</w:t>
      </w:r>
    </w:p>
    <w:p>
      <w:pPr>
        <w:numPr>
          <w:ilvl w:val="1"/>
          <w:numId w:val="34"/>
        </w:numPr>
        <w:rPr>
          <w:b w:val="0"/>
          <w:i w:val="0"/>
          <w:strike w:val="0"/>
        </w:rPr>
      </w:pPr>
      <w:r>
        <w:rPr>
          <w:rFonts w:ascii="Arial" w:eastAsia="Times New Roman" w:hAnsi="Arial" w:cs="Arial"/>
          <w:b w:val="0"/>
          <w:i w:val="0"/>
          <w:strike w:val="0"/>
          <w:color w:val="1D1D1D"/>
        </w:rPr>
        <w:t>New Jersey Consumer Fraud Act applies to lending practices and requires clear notice standards. Fair Foreclosure Act requires specific lender information in notices. Generic communications would likely violate these consumer protection requirements (US Bank v. Guillaume, Gonzalez v. Wilshire Credit)</w:t>
        <w:br/>
      </w:r>
    </w:p>
    <w:p w:rsidR="00266DD2" w:rsidP="00266DD2" w14:paraId="7D0BA273" w14:textId="0D6FC439">
      <w:pPr>
        <w:pStyle w:val="Report-Body"/>
        <w:rPr>
          <w:rFonts w:asciiTheme="minorHAnsi" w:eastAsiaTheme="minorHAnsi" w:hAnsiTheme="minorHAnsi" w:cstheme="minorBidi"/>
          <w:color w:val="auto"/>
          <w:kern w:val="2"/>
          <w:szCs w:val="24"/>
          <w14:ligatures w14:val="standardContextual"/>
        </w:rPr>
      </w:pPr>
      <w:r>
        <w:br/>
      </w:r>
      <w:r>
        <w:rPr>
          <w:noProof/>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244475</wp:posOffset>
                </wp:positionV>
                <wp:extent cx="5905500" cy="0"/>
                <wp:effectExtent l="0" t="12700" r="12700" b="12700"/>
                <wp:wrapNone/>
                <wp:docPr id="708621368"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44" style="mso-wrap-distance-bottom:0;mso-wrap-distance-left:9pt;mso-wrap-distance-right:9pt;mso-wrap-distance-top:0;mso-wrap-style:square;position:absolute;visibility:visible;z-index:251663360" from="0,19.25pt" to="465pt,19.25pt" strokecolor="black" strokeweight="1.5pt">
                <v:stroke joinstyle="miter"/>
              </v:line>
            </w:pict>
          </mc:Fallback>
        </mc:AlternateContent>
      </w: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hAnsi="Arial" w:cs="Arial"/>
          <w:b w:val="0"/>
          <w:i w:val="0"/>
          <w:strike w:val="0"/>
          <w:color w:val="000000"/>
          <w:sz w:val="36"/>
        </w:rPr>
        <w:t>Questions for further research</w:t>
        <w:br/>
      </w:r>
    </w:p>
    <w:p>
      <w:pPr>
        <w:numPr>
          <w:ilvl w:val="0"/>
          <w:numId w:val="33"/>
        </w:numPr>
        <w:rPr>
          <w:b w:val="0"/>
          <w:i w:val="0"/>
          <w:strike w:val="0"/>
        </w:rPr>
      </w:pPr>
      <w:r>
        <w:rPr>
          <w:rFonts w:ascii="Arial" w:hAnsi="Arial" w:cs="Arial"/>
          <w:b/>
          <w:i w:val="0"/>
          <w:strike w:val="0"/>
          <w:color w:val="1D1D1D"/>
        </w:rPr>
        <w:t>What specific language did the lender use in the generic emails sent to you?</w:t>
      </w:r>
    </w:p>
    <w:p>
      <w:pPr>
        <w:numPr>
          <w:ilvl w:val="0"/>
          <w:numId w:val="33"/>
        </w:numPr>
        <w:rPr>
          <w:b w:val="0"/>
          <w:i w:val="0"/>
          <w:strike w:val="0"/>
        </w:rPr>
      </w:pPr>
      <w:r>
        <w:rPr>
          <w:rFonts w:ascii="Arial" w:hAnsi="Arial" w:cs="Arial"/>
          <w:b/>
          <w:i w:val="0"/>
          <w:strike w:val="0"/>
          <w:color w:val="1D1D1D"/>
        </w:rPr>
        <w:t>How long was your loan in deferment status before you received the generic "check your account" emails?</w:t>
      </w:r>
    </w:p>
    <w:p>
      <w:pPr>
        <w:numPr>
          <w:ilvl w:val="0"/>
          <w:numId w:val="33"/>
        </w:numPr>
        <w:rPr>
          <w:b w:val="0"/>
          <w:i w:val="0"/>
          <w:strike w:val="0"/>
        </w:rPr>
      </w:pPr>
      <w:r>
        <w:rPr>
          <w:rFonts w:ascii="Arial" w:hAnsi="Arial" w:cs="Arial"/>
          <w:b/>
          <w:i w:val="0"/>
          <w:strike w:val="0"/>
          <w:color w:val="1D1D1D"/>
        </w:rPr>
        <w:t>Did you receive any other communications from the lender during or after the deferment period besides the generic emails?</w:t>
      </w:r>
    </w:p>
    <w:p>
      <w:pPr>
        <w:numPr>
          <w:ilvl w:val="0"/>
          <w:numId w:val="33"/>
        </w:numPr>
        <w:rPr>
          <w:b w:val="0"/>
          <w:i w:val="0"/>
          <w:strike w:val="0"/>
        </w:rPr>
      </w:pPr>
      <w:r>
        <w:rPr>
          <w:rFonts w:ascii="Arial" w:hAnsi="Arial" w:cs="Arial"/>
          <w:b/>
          <w:i w:val="0"/>
          <w:strike w:val="0"/>
          <w:color w:val="1D1D1D"/>
        </w:rPr>
        <w:t>What type of SBA loan do you have (7(a), 504, microloan, etc.) and when was it originated?</w:t>
      </w:r>
    </w:p>
    <w:p>
      <w:pPr>
        <w:numPr>
          <w:ilvl w:val="0"/>
          <w:numId w:val="33"/>
        </w:numPr>
        <w:rPr>
          <w:b w:val="0"/>
          <w:i w:val="0"/>
          <w:strike w:val="0"/>
        </w:rPr>
      </w:pPr>
      <w:r>
        <w:rPr>
          <w:rFonts w:ascii="Arial" w:hAnsi="Arial" w:cs="Arial"/>
          <w:b/>
          <w:i w:val="0"/>
          <w:strike w:val="0"/>
          <w:color w:val="1D1D1D"/>
        </w:rPr>
        <w:t>Did you actually check your account after receiving the generic emails, and if so, what information was displayed there?</w:t>
      </w:r>
      <w:r>
        <w:rPr>
          <w:rFonts w:ascii="Arial" w:hAnsi="Arial" w:cs="Arial"/>
          <w:b w:val="0"/>
          <w:i w:val="0"/>
          <w:strike w:val="0"/>
          <w:color w:val="1D1D1D"/>
        </w:rPr>
        <w:br/>
        <w:br/>
      </w:r>
    </w:p>
    <w:p w:rsidR="00266DD2" w:rsidP="00266DD2" w14:paraId="1EC8BF0B" w14:textId="77777777">
      <w:pPr>
        <w:pStyle w:val="Report-Body"/>
        <w:rPr>
          <w:rFonts w:eastAsiaTheme="minorHAnsi"/>
        </w:rPr>
      </w:pPr>
      <w:r w:rsidRPr="007A4513">
        <w:rPr>
          <w:rFonts w:eastAsiaTheme="minorHAnsi"/>
        </w:rPr>
        <w:t xml:space="preserve"> </w:t>
      </w:r>
    </w:p>
    <w:p w:rsidR="00F3378D" w:rsidRPr="000E6B43" w:rsidP="00CD7BBC" w14:paraId="7B361FDD" w14:textId="1EF80FA4">
      <w:pPr>
        <w:pStyle w:val="Report-Body"/>
      </w:pPr>
    </w:p>
    <w:p w:rsidR="007E5AC0" w:rsidRPr="00A610D3" w:rsidP="00A610D3" w14:paraId="77A3323A" w14:textId="77777777"/>
    <w:sectPr w:rsidSect="00B62FF8">
      <w:headerReference w:type="default" r:id="rId31"/>
      <w:footerReference w:type="even" r:id="rId32"/>
      <w:footerReference w:type="default" r:id="rId33"/>
      <w:pgSz w:w="12240" w:h="15840"/>
      <w:pgMar w:top="1440" w:right="1440" w:bottom="1440" w:left="1440" w:header="737"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P="0071770E" w14:paraId="7161748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1770E" w:rsidRPr="00CA3A86" w:rsidP="00266D65" w14:paraId="0BA2D906" w14:textId="77501D8E">
    <w:pPr>
      <w:pStyle w:val="Footer"/>
      <w:rPr>
        <w:rStyle w:val="PageNumber"/>
        <w:rFonts w:ascii="Arial" w:hAnsi="Arial" w:cs="Arial"/>
        <w:sz w:val="18"/>
        <w:szCs w:val="18"/>
      </w:rPr>
    </w:pPr>
  </w:p>
  <w:p w:rsidR="00266D65" w:rsidRPr="00CA3A86" w:rsidP="004A573A" w14:paraId="76D473BF" w14:textId="56E8A3DF">
    <w:pPr>
      <w:pStyle w:val="Footer"/>
      <w:rPr>
        <w:rStyle w:val="PageNumber"/>
        <w:rFonts w:ascii="Arial" w:hAnsi="Arial" w:cs="Arial"/>
        <w:sz w:val="18"/>
        <w:szCs w:val="18"/>
      </w:rPr>
    </w:pPr>
    <w:r w:rsidRPr="00CA3A86">
      <w:rPr>
        <w:rFonts w:ascii="Arial" w:hAnsi="Arial" w:cs="Arial"/>
        <w:noProof/>
        <w:sz w:val="18"/>
        <w:szCs w:val="18"/>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-92710</wp:posOffset>
              </wp:positionV>
              <wp:extent cx="5933440" cy="2918"/>
              <wp:effectExtent l="0" t="12700" r="22860" b="22860"/>
              <wp:wrapNone/>
              <wp:docPr id="209175415" name="Straight Connector 23"/>
              <wp:cNvGraphicFramePr/>
              <a:graphic xmlns:a="http://schemas.openxmlformats.org/drawingml/2006/main">
                <a:graphicData uri="http://schemas.microsoft.com/office/word/2010/wordprocessingShape">
                  <wps:wsp xmlns:wps="http://schemas.microsoft.com/office/word/2010/wordprocessingShape">
                    <wps:cNvCnPr/>
                    <wps:spPr>
                      <a:xfrm flipV="1">
                        <a:off x="0" y="0"/>
                        <a:ext cx="5933440" cy="2918"/>
                      </a:xfrm>
                      <a:prstGeom prst="line">
                        <a:avLst/>
                      </a:prstGeom>
                      <a:ln>
                        <a:solidFill>
                          <a:schemeClr val="bg2">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 o:spid="_x0000_s2049" style="flip:y;mso-height-percent:0;mso-height-relative:margin;mso-width-percent:0;mso-width-relative:margin;mso-wrap-distance-bottom:0;mso-wrap-distance-left:9pt;mso-wrap-distance-right:9pt;mso-wrap-distance-top:0;mso-wrap-style:square;position:absolute;visibility:visible;z-index:251659264" from="0,-7.3pt" to="467.2pt,-7.05pt" strokecolor="#737373" strokeweight="1.5pt">
              <v:stroke joinstyle="miter"/>
            </v:line>
          </w:pict>
        </mc:Fallback>
      </mc:AlternateContent>
    </w:r>
    <w:r w:rsidRPr="00CA3A86" w:rsidR="002233E3">
      <w:rPr>
        <w:rFonts w:ascii="Arial" w:hAnsi="Arial" w:cs="Arial"/>
        <w:sz w:val="18"/>
        <w:szCs w:val="18"/>
      </w:rPr>
      <w:t xml:space="preserve"> </w:t>
    </w:r>
    <w:r>
      <w:rPr>
        <w:rFonts w:ascii="Arial" w:hAnsi="Arial" w:cs="Arial"/>
        <w:b w:val="0"/>
        <w:i w:val="0"/>
        <w:strike w:val="0"/>
        <w:sz w:val="18"/>
      </w:rPr>
      <w:t>Westlaw Advantage</w:t>
    </w:r>
    <w:r w:rsidRPr="00CA3A86" w:rsidR="002233E3">
      <w:rPr>
        <w:rFonts w:ascii="Arial" w:hAnsi="Arial" w:cs="Arial"/>
        <w:sz w:val="18"/>
        <w:szCs w:val="18"/>
      </w:rPr>
      <w:t xml:space="preserve">. © </w:t>
    </w:r>
    <w:r>
      <w:rPr>
        <w:rFonts w:ascii="Arial" w:hAnsi="Arial" w:cs="Arial"/>
        <w:b w:val="0"/>
        <w:i w:val="0"/>
        <w:strike w:val="0"/>
        <w:sz w:val="18"/>
      </w:rPr>
      <w:t>2026</w:t>
    </w:r>
    <w:r w:rsidRPr="00CA3A86" w:rsidR="002233E3">
      <w:rPr>
        <w:rFonts w:ascii="Arial" w:hAnsi="Arial" w:cs="Arial"/>
        <w:sz w:val="18"/>
        <w:szCs w:val="18"/>
      </w:rPr>
      <w:t xml:space="preserve"> Thomson Reuters. No claim to original U.S. Government Works.</w:t>
    </w:r>
    <w:r w:rsidR="004A573A">
      <w:rPr>
        <w:rFonts w:ascii="Arial" w:hAnsi="Arial" w:cs="Arial"/>
        <w:sz w:val="18"/>
        <w:szCs w:val="18"/>
      </w:rPr>
      <w:tab/>
    </w:r>
    <w:r w:rsidRPr="004A573A" w:rsidR="004A573A">
      <w:rPr>
        <w:rFonts w:ascii="Arial" w:hAnsi="Arial" w:cs="Arial"/>
        <w:sz w:val="18"/>
        <w:szCs w:val="18"/>
      </w:rPr>
      <w:fldChar w:fldCharType="begin"/>
    </w:r>
    <w:r w:rsidRPr="004A573A" w:rsidR="004A573A">
      <w:rPr>
        <w:rFonts w:ascii="Arial" w:hAnsi="Arial" w:cs="Arial"/>
        <w:sz w:val="18"/>
        <w:szCs w:val="18"/>
      </w:rPr>
      <w:instrText xml:space="preserve"> PAGE   \* MERGEFORMAT </w:instrText>
    </w:r>
    <w:r w:rsidRPr="004A573A" w:rsidR="004A573A">
      <w:rPr>
        <w:rFonts w:ascii="Arial" w:hAnsi="Arial" w:cs="Arial"/>
        <w:sz w:val="18"/>
        <w:szCs w:val="18"/>
      </w:rPr>
      <w:fldChar w:fldCharType="separate"/>
    </w:r>
    <w:r w:rsidRPr="004A573A" w:rsidR="004A573A">
      <w:rPr>
        <w:rFonts w:ascii="Arial" w:hAnsi="Arial" w:cs="Arial"/>
        <w:noProof/>
        <w:sz w:val="18"/>
        <w:szCs w:val="18"/>
      </w:rPr>
      <w:t>15</w:t>
    </w:r>
    <w:r w:rsidRPr="004A573A" w:rsidR="004A573A">
      <w:rPr>
        <w:rFonts w:ascii="Arial" w:hAnsi="Arial" w:cs="Arial"/>
        <w:noProof/>
        <w:sz w:val="18"/>
        <w:szCs w:val="18"/>
      </w:rPr>
      <w:fldChar w:fldCharType="end"/>
    </w:r>
  </w:p>
  <w:p w:rsidR="00FB3768" w:rsidRPr="00CA3A86" w:rsidP="00266D65" w14:paraId="6F178050" w14:textId="4F694DA3">
    <w:pPr>
      <w:pStyle w:val="Footer"/>
      <w:rPr>
        <w:rFonts w:ascii="Arial" w:hAnsi="Arial" w:cs="Arial"/>
        <w:sz w:val="18"/>
        <w:szCs w:val="18"/>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RPr="00CA3A86" w:rsidP="00266D65" w14:paraId="468BA717" w14:textId="1009282B">
    <w:pPr>
      <w:pStyle w:val="Header"/>
      <w:rPr>
        <w:rFonts w:ascii="Arial" w:hAnsi="Arial" w:cs="Arial"/>
        <w:sz w:val="18"/>
        <w:szCs w:val="18"/>
      </w:rPr>
    </w:pPr>
    <w:r>
      <w:rPr>
        <w:rFonts w:ascii="Arial" w:hAnsi="Arial" w:cs="Arial"/>
        <w:b/>
        <w:i w:val="0"/>
        <w:strike w:val="0"/>
        <w:sz w:val="18"/>
      </w:rPr>
      <w:t>Westlaw AI Deep Research</w:t>
    </w:r>
    <w:r w:rsidRPr="00CA3A86" w:rsidR="00266D65">
      <w:rPr>
        <w:rFonts w:ascii="Arial" w:hAnsi="Arial" w:cs="Arial"/>
        <w:sz w:val="18"/>
        <w:szCs w:val="18"/>
      </w:rPr>
      <w:t xml:space="preserve">   •   Response generated: </w:t>
    </w:r>
    <w:r>
      <w:rPr>
        <w:rFonts w:ascii="Arial" w:hAnsi="Arial" w:cs="Arial"/>
        <w:b w:val="0"/>
        <w:i w:val="0"/>
        <w:strike w:val="0"/>
        <w:sz w:val="18"/>
      </w:rPr>
      <w:t>February 9, 2026</w:t>
    </w:r>
    <w:r w:rsidRPr="00CA3A86" w:rsidR="00266D65">
      <w:rPr>
        <w:rFonts w:ascii="Arial" w:hAnsi="Arial" w:cs="Arial"/>
        <w:sz w:val="18"/>
        <w:szCs w:val="18"/>
      </w:rPr>
      <w:t xml:space="preserve"> at </w:t>
    </w:r>
    <w:r>
      <w:rPr>
        <w:rFonts w:ascii="Arial" w:hAnsi="Arial" w:cs="Arial"/>
        <w:b w:val="0"/>
        <w:i w:val="0"/>
        <w:strike w:val="0"/>
        <w:sz w:val="18"/>
      </w:rPr>
      <w:t>7:57 p.m. UTC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4457E2A"/>
    <w:multiLevelType w:val="multilevel"/>
    <w:tmpl w:val="E6722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755EC0"/>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6CD0400"/>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6FC1E9C"/>
    <w:multiLevelType w:val="multilevel"/>
    <w:tmpl w:val="F39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B0739E5"/>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1538483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1A94677A"/>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1B81534D"/>
    <w:multiLevelType w:val="hybridMultilevel"/>
    <w:tmpl w:val="0D8060D0"/>
    <w:lvl w:ilvl="0">
      <w:start w:val="1"/>
      <w:numFmt w:val="bullet"/>
      <w:lvlText w:val="ü"/>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9">
    <w:nsid w:val="27F06589"/>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EA47815"/>
    <w:multiLevelType w:val="hybridMultilevel"/>
    <w:tmpl w:val="5DAE70DC"/>
    <w:lvl w:ilvl="0">
      <w:start w:val="3"/>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9424FA7"/>
    <w:multiLevelType w:val="hybridMultilevel"/>
    <w:tmpl w:val="658645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AF80D86"/>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CA00D8C"/>
    <w:multiLevelType w:val="multilevel"/>
    <w:tmpl w:val="D51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1867403"/>
    <w:multiLevelType w:val="hybridMultilevel"/>
    <w:tmpl w:val="A5182E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5">
    <w:nsid w:val="4CA0583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4F374317"/>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51BE2E9D"/>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546622C0"/>
    <w:multiLevelType w:val="multilevel"/>
    <w:tmpl w:val="9D2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48A7882"/>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5496378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56A954C8"/>
    <w:multiLevelType w:val="hybridMultilevel"/>
    <w:tmpl w:val="D82A718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57B21FE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59FE2C15"/>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633C3930"/>
    <w:multiLevelType w:val="hybridMultilevel"/>
    <w:tmpl w:val="7BF4ABD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67F571E3"/>
    <w:multiLevelType w:val="multilevel"/>
    <w:tmpl w:val="6EDC73E6"/>
    <w:numStyleLink w:val="ResearchSteps"/>
  </w:abstractNum>
  <w:abstractNum w:abstractNumId="26">
    <w:nsid w:val="68C7770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6B224267"/>
    <w:multiLevelType w:val="multilevel"/>
    <w:tmpl w:val="6EDC73E6"/>
    <w:styleLink w:val="ResearchSteps"/>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color w:val="auto"/>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8">
    <w:nsid w:val="6B2B218C"/>
    <w:multiLevelType w:val="hybridMultilevel"/>
    <w:tmpl w:val="D6AC1E7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73A12D01"/>
    <w:multiLevelType w:val="multilevel"/>
    <w:tmpl w:val="904C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9BF6B44"/>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7C5654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7C5654BB"/>
    <w:multiLevelType w:val="multilevel"/>
    <w:tmpl w:val="7C5654B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7C5654BC"/>
    <w:multiLevelType w:val="hybridMultilevel"/>
    <w:tmpl w:val="7C5654BC"/>
    <w:lvl w:ilvl="0">
      <w:start w:val="1"/>
      <w:numFmt w:val="bullet"/>
      <w:lvlText w:val="✓"/>
      <w:lvlJc w:val="left"/>
      <w:pPr>
        <w:tabs>
          <w:tab w:val="num" w:pos="720"/>
        </w:tabs>
        <w:ind w:left="720" w:hanging="360"/>
      </w:pPr>
      <w:rPr>
        <w:rFonts w:ascii="Segoe UI Symbol" w:eastAsia="Segoe UI Symbol" w:hAnsi="Segoe UI Symbol" w:cs="Segoe UI Symbol"/>
      </w:rPr>
    </w:lvl>
    <w:lvl w:ilvl="1">
      <w:start w:val="1"/>
      <w:numFmt w:val="bullet"/>
      <w:lvlText w:val="o"/>
      <w:lvlJc w:val="left"/>
      <w:pPr>
        <w:tabs>
          <w:tab w:val="num" w:pos="1440"/>
        </w:tabs>
        <w:ind w:left="1440" w:hanging="360"/>
      </w:pPr>
      <w:rPr>
        <w:rFonts w:ascii="Symbol" w:eastAsia="Symbol" w:hAnsi="Symbol" w:cs="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77177892">
    <w:abstractNumId w:val="24"/>
  </w:num>
  <w:num w:numId="2" w16cid:durableId="882862179">
    <w:abstractNumId w:val="28"/>
  </w:num>
  <w:num w:numId="3" w16cid:durableId="1125149909">
    <w:abstractNumId w:val="1"/>
  </w:num>
  <w:num w:numId="4" w16cid:durableId="979194767">
    <w:abstractNumId w:val="21"/>
  </w:num>
  <w:num w:numId="5" w16cid:durableId="1135949211">
    <w:abstractNumId w:val="10"/>
  </w:num>
  <w:num w:numId="6" w16cid:durableId="987049796">
    <w:abstractNumId w:val="29"/>
  </w:num>
  <w:num w:numId="7" w16cid:durableId="2099935921">
    <w:abstractNumId w:val="4"/>
  </w:num>
  <w:num w:numId="8" w16cid:durableId="1390878430">
    <w:abstractNumId w:val="13"/>
  </w:num>
  <w:num w:numId="9" w16cid:durableId="165680804">
    <w:abstractNumId w:val="18"/>
  </w:num>
  <w:num w:numId="10" w16cid:durableId="1445539250">
    <w:abstractNumId w:val="26"/>
  </w:num>
  <w:num w:numId="11" w16cid:durableId="18943456">
    <w:abstractNumId w:val="12"/>
  </w:num>
  <w:num w:numId="12" w16cid:durableId="1446853127">
    <w:abstractNumId w:val="5"/>
  </w:num>
  <w:num w:numId="13" w16cid:durableId="452557828">
    <w:abstractNumId w:val="3"/>
  </w:num>
  <w:num w:numId="14" w16cid:durableId="222717049">
    <w:abstractNumId w:val="16"/>
  </w:num>
  <w:num w:numId="15" w16cid:durableId="1727685844">
    <w:abstractNumId w:val="19"/>
  </w:num>
  <w:num w:numId="16" w16cid:durableId="163128153">
    <w:abstractNumId w:val="7"/>
  </w:num>
  <w:num w:numId="17" w16cid:durableId="1113554303">
    <w:abstractNumId w:val="2"/>
  </w:num>
  <w:num w:numId="18" w16cid:durableId="1326473564">
    <w:abstractNumId w:val="23"/>
  </w:num>
  <w:num w:numId="19" w16cid:durableId="1981617171">
    <w:abstractNumId w:val="17"/>
  </w:num>
  <w:num w:numId="20" w16cid:durableId="74523104">
    <w:abstractNumId w:val="9"/>
  </w:num>
  <w:num w:numId="21" w16cid:durableId="1700811561">
    <w:abstractNumId w:val="6"/>
  </w:num>
  <w:num w:numId="22" w16cid:durableId="143855414">
    <w:abstractNumId w:val="15"/>
  </w:num>
  <w:num w:numId="23" w16cid:durableId="1498886866">
    <w:abstractNumId w:val="14"/>
  </w:num>
  <w:num w:numId="24" w16cid:durableId="1664772259">
    <w:abstractNumId w:val="30"/>
  </w:num>
  <w:num w:numId="25" w16cid:durableId="2100127906">
    <w:abstractNumId w:val="20"/>
  </w:num>
  <w:num w:numId="26" w16cid:durableId="1657878376">
    <w:abstractNumId w:val="22"/>
  </w:num>
  <w:num w:numId="27" w16cid:durableId="2117557087">
    <w:abstractNumId w:val="8"/>
  </w:num>
  <w:num w:numId="28" w16cid:durableId="69548974">
    <w:abstractNumId w:val="11"/>
  </w:num>
  <w:num w:numId="29" w16cid:durableId="875699361">
    <w:abstractNumId w:val="27"/>
  </w:num>
  <w:num w:numId="30" w16cid:durableId="129247603">
    <w:abstractNumId w:val="25"/>
  </w:num>
  <w:num w:numId="31" w16cid:durableId="935821104">
    <w:abstractNumId w:val="31"/>
  </w:num>
  <w:num w:numId="32">
    <w:abstractNumId w:val="0"/>
  </w:num>
  <w:num w:numId="33">
    <w:abstractNumId w:val="3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B00"/>
    <w:rsid w:val="00002537"/>
    <w:rsid w:val="000070A9"/>
    <w:rsid w:val="00010434"/>
    <w:rsid w:val="00011EB0"/>
    <w:rsid w:val="00020FD1"/>
    <w:rsid w:val="00027A36"/>
    <w:rsid w:val="0003200D"/>
    <w:rsid w:val="00032904"/>
    <w:rsid w:val="000513CE"/>
    <w:rsid w:val="00054AE9"/>
    <w:rsid w:val="00075FC5"/>
    <w:rsid w:val="000815E7"/>
    <w:rsid w:val="000853EB"/>
    <w:rsid w:val="000911FB"/>
    <w:rsid w:val="000970CD"/>
    <w:rsid w:val="000A169D"/>
    <w:rsid w:val="000A62DD"/>
    <w:rsid w:val="000B21FD"/>
    <w:rsid w:val="000B25DA"/>
    <w:rsid w:val="000C1760"/>
    <w:rsid w:val="000C4CC4"/>
    <w:rsid w:val="000C6E54"/>
    <w:rsid w:val="000D328E"/>
    <w:rsid w:val="000E1AFB"/>
    <w:rsid w:val="000E4BB0"/>
    <w:rsid w:val="000E6B43"/>
    <w:rsid w:val="000E75C6"/>
    <w:rsid w:val="000F118B"/>
    <w:rsid w:val="000F3725"/>
    <w:rsid w:val="000F5454"/>
    <w:rsid w:val="000F6139"/>
    <w:rsid w:val="001075B4"/>
    <w:rsid w:val="00112DD4"/>
    <w:rsid w:val="001234D5"/>
    <w:rsid w:val="00126860"/>
    <w:rsid w:val="0013440D"/>
    <w:rsid w:val="00145CEA"/>
    <w:rsid w:val="00153A96"/>
    <w:rsid w:val="00156E45"/>
    <w:rsid w:val="00163EF0"/>
    <w:rsid w:val="0017070C"/>
    <w:rsid w:val="00173CCD"/>
    <w:rsid w:val="001769B3"/>
    <w:rsid w:val="00176FD6"/>
    <w:rsid w:val="00177C2A"/>
    <w:rsid w:val="001947AC"/>
    <w:rsid w:val="00194FAC"/>
    <w:rsid w:val="0019606A"/>
    <w:rsid w:val="001B15B9"/>
    <w:rsid w:val="001B47B6"/>
    <w:rsid w:val="001B4E7F"/>
    <w:rsid w:val="001B6E29"/>
    <w:rsid w:val="001C2E92"/>
    <w:rsid w:val="001C78E3"/>
    <w:rsid w:val="001D4275"/>
    <w:rsid w:val="001E1C60"/>
    <w:rsid w:val="001E54C9"/>
    <w:rsid w:val="001F4EF1"/>
    <w:rsid w:val="001F75F3"/>
    <w:rsid w:val="00201287"/>
    <w:rsid w:val="0021105E"/>
    <w:rsid w:val="00214220"/>
    <w:rsid w:val="002233E3"/>
    <w:rsid w:val="0023187D"/>
    <w:rsid w:val="00233591"/>
    <w:rsid w:val="0024315F"/>
    <w:rsid w:val="0024664F"/>
    <w:rsid w:val="00246C76"/>
    <w:rsid w:val="00251AC1"/>
    <w:rsid w:val="002534E6"/>
    <w:rsid w:val="00266D65"/>
    <w:rsid w:val="00266DD2"/>
    <w:rsid w:val="002670BD"/>
    <w:rsid w:val="0029350B"/>
    <w:rsid w:val="002A5285"/>
    <w:rsid w:val="002A766F"/>
    <w:rsid w:val="002C0255"/>
    <w:rsid w:val="002C7F2B"/>
    <w:rsid w:val="002D3F75"/>
    <w:rsid w:val="002D7F22"/>
    <w:rsid w:val="002E1212"/>
    <w:rsid w:val="002E4A9D"/>
    <w:rsid w:val="002F1427"/>
    <w:rsid w:val="00301D69"/>
    <w:rsid w:val="00317081"/>
    <w:rsid w:val="00320DBE"/>
    <w:rsid w:val="00321BFC"/>
    <w:rsid w:val="003359E4"/>
    <w:rsid w:val="003436F8"/>
    <w:rsid w:val="00354317"/>
    <w:rsid w:val="00371915"/>
    <w:rsid w:val="00371BA2"/>
    <w:rsid w:val="00372153"/>
    <w:rsid w:val="00396112"/>
    <w:rsid w:val="003A7A8B"/>
    <w:rsid w:val="003B2CBE"/>
    <w:rsid w:val="003B358F"/>
    <w:rsid w:val="003B55C8"/>
    <w:rsid w:val="003B7B49"/>
    <w:rsid w:val="003C097A"/>
    <w:rsid w:val="003D1130"/>
    <w:rsid w:val="003E2334"/>
    <w:rsid w:val="003E4AE8"/>
    <w:rsid w:val="00401DC8"/>
    <w:rsid w:val="00402EC7"/>
    <w:rsid w:val="0040472B"/>
    <w:rsid w:val="004134E9"/>
    <w:rsid w:val="00414E6F"/>
    <w:rsid w:val="00417ED9"/>
    <w:rsid w:val="00425CE9"/>
    <w:rsid w:val="0045055B"/>
    <w:rsid w:val="004520E7"/>
    <w:rsid w:val="00455FEB"/>
    <w:rsid w:val="00461E05"/>
    <w:rsid w:val="00465A85"/>
    <w:rsid w:val="00477459"/>
    <w:rsid w:val="00481DDD"/>
    <w:rsid w:val="00486837"/>
    <w:rsid w:val="00490A5F"/>
    <w:rsid w:val="00495A96"/>
    <w:rsid w:val="004A32B0"/>
    <w:rsid w:val="004A573A"/>
    <w:rsid w:val="004C3FCB"/>
    <w:rsid w:val="004C4F25"/>
    <w:rsid w:val="004C766E"/>
    <w:rsid w:val="004D7C28"/>
    <w:rsid w:val="004F1C3B"/>
    <w:rsid w:val="00505C4B"/>
    <w:rsid w:val="00510591"/>
    <w:rsid w:val="00516B3F"/>
    <w:rsid w:val="00520D11"/>
    <w:rsid w:val="005218D7"/>
    <w:rsid w:val="00522045"/>
    <w:rsid w:val="00522D43"/>
    <w:rsid w:val="005305F0"/>
    <w:rsid w:val="0053299B"/>
    <w:rsid w:val="00550EC5"/>
    <w:rsid w:val="0056376F"/>
    <w:rsid w:val="00566A4A"/>
    <w:rsid w:val="00566AEF"/>
    <w:rsid w:val="005A2527"/>
    <w:rsid w:val="005A7107"/>
    <w:rsid w:val="005A7294"/>
    <w:rsid w:val="005B55F6"/>
    <w:rsid w:val="005C2054"/>
    <w:rsid w:val="005E0E32"/>
    <w:rsid w:val="005E1943"/>
    <w:rsid w:val="005E336A"/>
    <w:rsid w:val="005F0D8F"/>
    <w:rsid w:val="005F433F"/>
    <w:rsid w:val="005F4583"/>
    <w:rsid w:val="005F680A"/>
    <w:rsid w:val="00602A33"/>
    <w:rsid w:val="006043CD"/>
    <w:rsid w:val="00604653"/>
    <w:rsid w:val="006166D3"/>
    <w:rsid w:val="00620344"/>
    <w:rsid w:val="00624B2F"/>
    <w:rsid w:val="00625DAA"/>
    <w:rsid w:val="0062617A"/>
    <w:rsid w:val="00626885"/>
    <w:rsid w:val="00637A25"/>
    <w:rsid w:val="0065092C"/>
    <w:rsid w:val="0065351A"/>
    <w:rsid w:val="00657A79"/>
    <w:rsid w:val="00670061"/>
    <w:rsid w:val="00672A7D"/>
    <w:rsid w:val="0067605D"/>
    <w:rsid w:val="0068486E"/>
    <w:rsid w:val="00693CF8"/>
    <w:rsid w:val="00693D65"/>
    <w:rsid w:val="00694F25"/>
    <w:rsid w:val="006A15A1"/>
    <w:rsid w:val="006A1D03"/>
    <w:rsid w:val="006B1152"/>
    <w:rsid w:val="006B7F9C"/>
    <w:rsid w:val="006C1131"/>
    <w:rsid w:val="006C18AF"/>
    <w:rsid w:val="006D141A"/>
    <w:rsid w:val="006D482B"/>
    <w:rsid w:val="006E653C"/>
    <w:rsid w:val="006E7112"/>
    <w:rsid w:val="006E7F0F"/>
    <w:rsid w:val="006F12B9"/>
    <w:rsid w:val="006F6834"/>
    <w:rsid w:val="007118BA"/>
    <w:rsid w:val="00713078"/>
    <w:rsid w:val="00714E6B"/>
    <w:rsid w:val="0071770E"/>
    <w:rsid w:val="0072447E"/>
    <w:rsid w:val="00732345"/>
    <w:rsid w:val="007350C4"/>
    <w:rsid w:val="00741BD8"/>
    <w:rsid w:val="007516D9"/>
    <w:rsid w:val="00755159"/>
    <w:rsid w:val="00755B14"/>
    <w:rsid w:val="00756906"/>
    <w:rsid w:val="0076021E"/>
    <w:rsid w:val="00764A43"/>
    <w:rsid w:val="00764BF7"/>
    <w:rsid w:val="00774FDA"/>
    <w:rsid w:val="00780BA6"/>
    <w:rsid w:val="00782B00"/>
    <w:rsid w:val="00787E9B"/>
    <w:rsid w:val="00792125"/>
    <w:rsid w:val="00794C0D"/>
    <w:rsid w:val="0079657F"/>
    <w:rsid w:val="00797F32"/>
    <w:rsid w:val="007A0BF5"/>
    <w:rsid w:val="007A151E"/>
    <w:rsid w:val="007A4513"/>
    <w:rsid w:val="007A705E"/>
    <w:rsid w:val="007B51F0"/>
    <w:rsid w:val="007B56CE"/>
    <w:rsid w:val="007B77A6"/>
    <w:rsid w:val="007C3FBA"/>
    <w:rsid w:val="007C57AF"/>
    <w:rsid w:val="007D0172"/>
    <w:rsid w:val="007D3828"/>
    <w:rsid w:val="007E30E3"/>
    <w:rsid w:val="007E5AC0"/>
    <w:rsid w:val="008019DC"/>
    <w:rsid w:val="00803537"/>
    <w:rsid w:val="00803EC5"/>
    <w:rsid w:val="008073DD"/>
    <w:rsid w:val="008074D4"/>
    <w:rsid w:val="0081418D"/>
    <w:rsid w:val="00814BC7"/>
    <w:rsid w:val="00814DAD"/>
    <w:rsid w:val="00816631"/>
    <w:rsid w:val="0081707F"/>
    <w:rsid w:val="008221C5"/>
    <w:rsid w:val="00833D34"/>
    <w:rsid w:val="00833D9C"/>
    <w:rsid w:val="00853C21"/>
    <w:rsid w:val="0086311F"/>
    <w:rsid w:val="00873ADA"/>
    <w:rsid w:val="008775B8"/>
    <w:rsid w:val="00877D32"/>
    <w:rsid w:val="008809CB"/>
    <w:rsid w:val="00884130"/>
    <w:rsid w:val="00893714"/>
    <w:rsid w:val="00897859"/>
    <w:rsid w:val="008B293F"/>
    <w:rsid w:val="008C1635"/>
    <w:rsid w:val="008C3F22"/>
    <w:rsid w:val="008C41E4"/>
    <w:rsid w:val="008C6DA9"/>
    <w:rsid w:val="008C6E74"/>
    <w:rsid w:val="008D3D75"/>
    <w:rsid w:val="008D748A"/>
    <w:rsid w:val="008E22EC"/>
    <w:rsid w:val="008F6E98"/>
    <w:rsid w:val="00904C94"/>
    <w:rsid w:val="0091518F"/>
    <w:rsid w:val="00917C10"/>
    <w:rsid w:val="00922C5F"/>
    <w:rsid w:val="00926860"/>
    <w:rsid w:val="009337AC"/>
    <w:rsid w:val="0093562A"/>
    <w:rsid w:val="0094051C"/>
    <w:rsid w:val="00945A08"/>
    <w:rsid w:val="009569F1"/>
    <w:rsid w:val="00956E15"/>
    <w:rsid w:val="00957A33"/>
    <w:rsid w:val="00971AF2"/>
    <w:rsid w:val="00974121"/>
    <w:rsid w:val="009842AD"/>
    <w:rsid w:val="0098739B"/>
    <w:rsid w:val="0099335B"/>
    <w:rsid w:val="009972E9"/>
    <w:rsid w:val="009A128A"/>
    <w:rsid w:val="009A323E"/>
    <w:rsid w:val="009A6103"/>
    <w:rsid w:val="009B42E6"/>
    <w:rsid w:val="009B789C"/>
    <w:rsid w:val="009D7141"/>
    <w:rsid w:val="009F44D9"/>
    <w:rsid w:val="00A024E9"/>
    <w:rsid w:val="00A14DA2"/>
    <w:rsid w:val="00A20A87"/>
    <w:rsid w:val="00A25B5B"/>
    <w:rsid w:val="00A25E2F"/>
    <w:rsid w:val="00A31E55"/>
    <w:rsid w:val="00A3231B"/>
    <w:rsid w:val="00A33C94"/>
    <w:rsid w:val="00A37A26"/>
    <w:rsid w:val="00A46556"/>
    <w:rsid w:val="00A5211C"/>
    <w:rsid w:val="00A61076"/>
    <w:rsid w:val="00A610D3"/>
    <w:rsid w:val="00A703EB"/>
    <w:rsid w:val="00A71489"/>
    <w:rsid w:val="00A72C3C"/>
    <w:rsid w:val="00A7738C"/>
    <w:rsid w:val="00A8662C"/>
    <w:rsid w:val="00A9280D"/>
    <w:rsid w:val="00A9498D"/>
    <w:rsid w:val="00A96542"/>
    <w:rsid w:val="00AA46CA"/>
    <w:rsid w:val="00AA59C4"/>
    <w:rsid w:val="00AC6FA2"/>
    <w:rsid w:val="00AD6C25"/>
    <w:rsid w:val="00AE1ACC"/>
    <w:rsid w:val="00AF4290"/>
    <w:rsid w:val="00B00260"/>
    <w:rsid w:val="00B00992"/>
    <w:rsid w:val="00B0712F"/>
    <w:rsid w:val="00B078E6"/>
    <w:rsid w:val="00B1574D"/>
    <w:rsid w:val="00B1685A"/>
    <w:rsid w:val="00B23348"/>
    <w:rsid w:val="00B233FA"/>
    <w:rsid w:val="00B34CD1"/>
    <w:rsid w:val="00B4280D"/>
    <w:rsid w:val="00B501C5"/>
    <w:rsid w:val="00B52EC9"/>
    <w:rsid w:val="00B567EE"/>
    <w:rsid w:val="00B60B3D"/>
    <w:rsid w:val="00B62FF8"/>
    <w:rsid w:val="00B63BA7"/>
    <w:rsid w:val="00B74C61"/>
    <w:rsid w:val="00B7607E"/>
    <w:rsid w:val="00B82CC7"/>
    <w:rsid w:val="00B86A5F"/>
    <w:rsid w:val="00B9156A"/>
    <w:rsid w:val="00B94D7E"/>
    <w:rsid w:val="00B95947"/>
    <w:rsid w:val="00BA0E1B"/>
    <w:rsid w:val="00BB0456"/>
    <w:rsid w:val="00BB349F"/>
    <w:rsid w:val="00BB4918"/>
    <w:rsid w:val="00BB52EA"/>
    <w:rsid w:val="00BB5985"/>
    <w:rsid w:val="00BC5CE9"/>
    <w:rsid w:val="00BC6C3E"/>
    <w:rsid w:val="00BD37A5"/>
    <w:rsid w:val="00BD536C"/>
    <w:rsid w:val="00BE22E2"/>
    <w:rsid w:val="00BE72CC"/>
    <w:rsid w:val="00BF1983"/>
    <w:rsid w:val="00C0608C"/>
    <w:rsid w:val="00C12CF4"/>
    <w:rsid w:val="00C16CCE"/>
    <w:rsid w:val="00C17243"/>
    <w:rsid w:val="00C24858"/>
    <w:rsid w:val="00C25DA1"/>
    <w:rsid w:val="00C3318C"/>
    <w:rsid w:val="00C35B6A"/>
    <w:rsid w:val="00C40631"/>
    <w:rsid w:val="00C41A7B"/>
    <w:rsid w:val="00C42B55"/>
    <w:rsid w:val="00C4379B"/>
    <w:rsid w:val="00C44847"/>
    <w:rsid w:val="00C4544D"/>
    <w:rsid w:val="00C46815"/>
    <w:rsid w:val="00C624A5"/>
    <w:rsid w:val="00C67A9D"/>
    <w:rsid w:val="00C746E0"/>
    <w:rsid w:val="00C931E4"/>
    <w:rsid w:val="00C96ABC"/>
    <w:rsid w:val="00CA2401"/>
    <w:rsid w:val="00CA2EC3"/>
    <w:rsid w:val="00CA3A86"/>
    <w:rsid w:val="00CA43C5"/>
    <w:rsid w:val="00CB4C02"/>
    <w:rsid w:val="00CB5520"/>
    <w:rsid w:val="00CB649F"/>
    <w:rsid w:val="00CC06D4"/>
    <w:rsid w:val="00CC4956"/>
    <w:rsid w:val="00CC5A8E"/>
    <w:rsid w:val="00CD4E11"/>
    <w:rsid w:val="00CD72FF"/>
    <w:rsid w:val="00CD7BBC"/>
    <w:rsid w:val="00CE05B5"/>
    <w:rsid w:val="00CF014C"/>
    <w:rsid w:val="00CF34D2"/>
    <w:rsid w:val="00CF4439"/>
    <w:rsid w:val="00CF66C0"/>
    <w:rsid w:val="00D0304B"/>
    <w:rsid w:val="00D05B72"/>
    <w:rsid w:val="00D10461"/>
    <w:rsid w:val="00D16362"/>
    <w:rsid w:val="00D2258D"/>
    <w:rsid w:val="00D31D73"/>
    <w:rsid w:val="00D325B2"/>
    <w:rsid w:val="00D4130B"/>
    <w:rsid w:val="00D43A6B"/>
    <w:rsid w:val="00D60195"/>
    <w:rsid w:val="00D62F64"/>
    <w:rsid w:val="00D70872"/>
    <w:rsid w:val="00D8338E"/>
    <w:rsid w:val="00D85898"/>
    <w:rsid w:val="00D86E13"/>
    <w:rsid w:val="00D90DA2"/>
    <w:rsid w:val="00D94A1D"/>
    <w:rsid w:val="00D955C2"/>
    <w:rsid w:val="00DA6442"/>
    <w:rsid w:val="00DA756F"/>
    <w:rsid w:val="00DA79E6"/>
    <w:rsid w:val="00DB4A21"/>
    <w:rsid w:val="00DB57B7"/>
    <w:rsid w:val="00DB647D"/>
    <w:rsid w:val="00DC507A"/>
    <w:rsid w:val="00DD4901"/>
    <w:rsid w:val="00DE6377"/>
    <w:rsid w:val="00DF3F9C"/>
    <w:rsid w:val="00E01C78"/>
    <w:rsid w:val="00E1623F"/>
    <w:rsid w:val="00E17948"/>
    <w:rsid w:val="00E23CB1"/>
    <w:rsid w:val="00E241E9"/>
    <w:rsid w:val="00E26755"/>
    <w:rsid w:val="00E36F57"/>
    <w:rsid w:val="00E378A6"/>
    <w:rsid w:val="00E44323"/>
    <w:rsid w:val="00E47D53"/>
    <w:rsid w:val="00E5063B"/>
    <w:rsid w:val="00E5662E"/>
    <w:rsid w:val="00E658DF"/>
    <w:rsid w:val="00E8060B"/>
    <w:rsid w:val="00E813CC"/>
    <w:rsid w:val="00E81F12"/>
    <w:rsid w:val="00E928C8"/>
    <w:rsid w:val="00E928E5"/>
    <w:rsid w:val="00E944BA"/>
    <w:rsid w:val="00EA0DC3"/>
    <w:rsid w:val="00EA12C1"/>
    <w:rsid w:val="00EA3824"/>
    <w:rsid w:val="00EA786A"/>
    <w:rsid w:val="00EB011F"/>
    <w:rsid w:val="00EB0702"/>
    <w:rsid w:val="00EB28B9"/>
    <w:rsid w:val="00EC008D"/>
    <w:rsid w:val="00EC1049"/>
    <w:rsid w:val="00EC22E0"/>
    <w:rsid w:val="00EC3CEA"/>
    <w:rsid w:val="00EC6328"/>
    <w:rsid w:val="00ED3AE4"/>
    <w:rsid w:val="00ED5365"/>
    <w:rsid w:val="00ED6887"/>
    <w:rsid w:val="00ED6995"/>
    <w:rsid w:val="00ED7666"/>
    <w:rsid w:val="00EE6197"/>
    <w:rsid w:val="00EF1940"/>
    <w:rsid w:val="00EF442E"/>
    <w:rsid w:val="00F01368"/>
    <w:rsid w:val="00F05E15"/>
    <w:rsid w:val="00F14998"/>
    <w:rsid w:val="00F151AD"/>
    <w:rsid w:val="00F169FC"/>
    <w:rsid w:val="00F33052"/>
    <w:rsid w:val="00F3378D"/>
    <w:rsid w:val="00F33ADE"/>
    <w:rsid w:val="00F34DD5"/>
    <w:rsid w:val="00F35097"/>
    <w:rsid w:val="00F41C47"/>
    <w:rsid w:val="00F5050F"/>
    <w:rsid w:val="00F53705"/>
    <w:rsid w:val="00F556B6"/>
    <w:rsid w:val="00F74764"/>
    <w:rsid w:val="00F857F6"/>
    <w:rsid w:val="00F85FF6"/>
    <w:rsid w:val="00FB0B5C"/>
    <w:rsid w:val="00FB3768"/>
    <w:rsid w:val="00FC4985"/>
    <w:rsid w:val="00FC6B2E"/>
    <w:rsid w:val="00FD0317"/>
    <w:rsid w:val="00FD3368"/>
    <w:rsid w:val="00FF35DB"/>
    <w:rsid w:val="00FF565F"/>
    <w:rsid w:val="00FF70C5"/>
  </w:rsids>
  <m:mathPr>
    <m:mathFont m:val="Cambria Math"/>
  </m:mathPr>
  <w:themeFontLang w:val="en-CA"/>
  <w:clrSchemeMapping w:bg1="light1" w:t1="dark1" w:bg2="light2" w:t2="dark2" w:accent1="accent1" w:accent2="accent2" w:accent3="accent3" w:accent4="accent4" w:accent5="accent5" w:accent6="accent6" w:hyperlink="hyperlink" w:followedHyperlink="followedHyperlink"/>
  <w14:docId w14:val="709B527C"/>
  <w15:chartTrackingRefBased/>
  <w15:docId w15:val="{12419E17-88F7-7A4E-AAC2-0F7298B1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semiHidden/>
    <w:qFormat/>
    <w:rsid w:val="000B25DA"/>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0B25DA"/>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0B25DA"/>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0B25DA"/>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B25DA"/>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782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0B25DA"/>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0B25D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B25DA"/>
    <w:rPr>
      <w:rFonts w:eastAsiaTheme="majorEastAsia" w:cstheme="majorBidi"/>
      <w:sz w:val="28"/>
      <w:szCs w:val="28"/>
    </w:rPr>
  </w:style>
  <w:style w:type="character" w:customStyle="1" w:styleId="Heading4Char">
    <w:name w:val="Heading 4 Char"/>
    <w:basedOn w:val="DefaultParagraphFont"/>
    <w:link w:val="Heading4"/>
    <w:uiPriority w:val="9"/>
    <w:semiHidden/>
    <w:rsid w:val="000B25DA"/>
    <w:rPr>
      <w:rFonts w:eastAsiaTheme="majorEastAsia" w:cstheme="majorBidi"/>
      <w:i/>
      <w:iCs/>
    </w:rPr>
  </w:style>
  <w:style w:type="character" w:customStyle="1" w:styleId="Heading5Char">
    <w:name w:val="Heading 5 Char"/>
    <w:basedOn w:val="DefaultParagraphFont"/>
    <w:link w:val="Heading5"/>
    <w:uiPriority w:val="9"/>
    <w:semiHidden/>
    <w:rsid w:val="000B25DA"/>
    <w:rPr>
      <w:rFonts w:eastAsiaTheme="majorEastAsia" w:cstheme="majorBidi"/>
    </w:rPr>
  </w:style>
  <w:style w:type="character" w:customStyle="1" w:styleId="Heading6Char">
    <w:name w:val="Heading 6 Char"/>
    <w:basedOn w:val="DefaultParagraphFont"/>
    <w:link w:val="Heading6"/>
    <w:uiPriority w:val="9"/>
    <w:semiHidden/>
    <w:rsid w:val="00782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B00"/>
    <w:rPr>
      <w:rFonts w:eastAsiaTheme="majorEastAsia" w:cstheme="majorBidi"/>
      <w:color w:val="272727" w:themeColor="text1" w:themeTint="D8"/>
    </w:rPr>
  </w:style>
  <w:style w:type="paragraph" w:styleId="Title">
    <w:name w:val="Title"/>
    <w:basedOn w:val="Normal"/>
    <w:next w:val="Normal"/>
    <w:link w:val="TitleChar"/>
    <w:uiPriority w:val="10"/>
    <w:semiHidden/>
    <w:qFormat/>
    <w:rsid w:val="00782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782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782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782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782B00"/>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782B00"/>
    <w:rPr>
      <w:i/>
      <w:iCs/>
      <w:color w:val="404040" w:themeColor="text1" w:themeTint="BF"/>
    </w:rPr>
  </w:style>
  <w:style w:type="paragraph" w:styleId="ListParagraph">
    <w:name w:val="List Paragraph"/>
    <w:basedOn w:val="Normal"/>
    <w:uiPriority w:val="34"/>
    <w:semiHidden/>
    <w:qFormat/>
    <w:rsid w:val="00782B00"/>
    <w:pPr>
      <w:ind w:left="720"/>
      <w:contextualSpacing/>
    </w:pPr>
  </w:style>
  <w:style w:type="character" w:styleId="IntenseEmphasis">
    <w:name w:val="Intense Emphasis"/>
    <w:basedOn w:val="DefaultParagraphFont"/>
    <w:uiPriority w:val="21"/>
    <w:semiHidden/>
    <w:qFormat/>
    <w:rsid w:val="00782B00"/>
    <w:rPr>
      <w:i/>
      <w:iCs/>
      <w:color w:val="0F4761" w:themeColor="accent1" w:themeShade="BF"/>
    </w:rPr>
  </w:style>
  <w:style w:type="paragraph" w:styleId="IntenseQuote">
    <w:name w:val="Intense Quote"/>
    <w:basedOn w:val="Normal"/>
    <w:next w:val="Normal"/>
    <w:link w:val="IntenseQuoteChar"/>
    <w:uiPriority w:val="30"/>
    <w:semiHidden/>
    <w:qFormat/>
    <w:rsid w:val="00782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782B00"/>
    <w:rPr>
      <w:i/>
      <w:iCs/>
      <w:color w:val="0F4761" w:themeColor="accent1" w:themeShade="BF"/>
    </w:rPr>
  </w:style>
  <w:style w:type="character" w:styleId="IntenseReference">
    <w:name w:val="Intense Reference"/>
    <w:basedOn w:val="DefaultParagraphFont"/>
    <w:uiPriority w:val="32"/>
    <w:semiHidden/>
    <w:qFormat/>
    <w:rsid w:val="00782B00"/>
    <w:rPr>
      <w:b/>
      <w:bCs/>
      <w:smallCaps/>
      <w:color w:val="0F4761" w:themeColor="accent1" w:themeShade="BF"/>
      <w:spacing w:val="5"/>
    </w:rPr>
  </w:style>
  <w:style w:type="paragraph" w:customStyle="1" w:styleId="p1">
    <w:name w:val="p1"/>
    <w:basedOn w:val="Normal"/>
    <w:semiHidden/>
    <w:rsid w:val="00782B00"/>
    <w:pPr>
      <w:spacing w:after="0" w:line="240" w:lineRule="auto"/>
    </w:pPr>
    <w:rPr>
      <w:rFonts w:ascii="Helvetica" w:eastAsia="Times New Roman" w:hAnsi="Helvetica" w:cs="Times New Roman"/>
      <w:color w:val="000000"/>
      <w:kern w:val="0"/>
      <w:sz w:val="48"/>
      <w:szCs w:val="48"/>
      <w14:ligatures w14:val="none"/>
    </w:rPr>
  </w:style>
  <w:style w:type="paragraph" w:customStyle="1" w:styleId="p2">
    <w:name w:val="p2"/>
    <w:basedOn w:val="Normal"/>
    <w:semiHidden/>
    <w:rsid w:val="00782B00"/>
    <w:pPr>
      <w:spacing w:after="0" w:line="240" w:lineRule="auto"/>
    </w:pPr>
    <w:rPr>
      <w:rFonts w:ascii="Helvetica" w:eastAsia="Times New Roman" w:hAnsi="Helvetica" w:cs="Times New Roman"/>
      <w:color w:val="000000"/>
      <w:kern w:val="0"/>
      <w14:ligatures w14:val="none"/>
    </w:rPr>
  </w:style>
  <w:style w:type="paragraph" w:customStyle="1" w:styleId="p3">
    <w:name w:val="p3"/>
    <w:basedOn w:val="Normal"/>
    <w:semiHidden/>
    <w:rsid w:val="00782B00"/>
    <w:pPr>
      <w:spacing w:after="0" w:line="240" w:lineRule="auto"/>
    </w:pPr>
    <w:rPr>
      <w:rFonts w:ascii="Helvetica" w:eastAsia="Times New Roman" w:hAnsi="Helvetica" w:cs="Times New Roman"/>
      <w:color w:val="000000"/>
      <w:kern w:val="0"/>
      <w:sz w:val="36"/>
      <w:szCs w:val="36"/>
      <w14:ligatures w14:val="none"/>
    </w:rPr>
  </w:style>
  <w:style w:type="paragraph" w:customStyle="1" w:styleId="Report-Heading">
    <w:name w:val="Report - Heading"/>
    <w:basedOn w:val="p1"/>
    <w:qFormat/>
    <w:rsid w:val="00ED5365"/>
    <w:rPr>
      <w:rFonts w:ascii="Arial" w:hAnsi="Arial" w:cs="Arial"/>
      <w:sz w:val="36"/>
    </w:rPr>
  </w:style>
  <w:style w:type="paragraph" w:customStyle="1" w:styleId="Report-Body">
    <w:name w:val="Report - Body"/>
    <w:basedOn w:val="p2"/>
    <w:qFormat/>
    <w:rsid w:val="00D325B2"/>
    <w:rPr>
      <w:rFonts w:ascii="Arial" w:hAnsi="Arial" w:cs="Arial"/>
      <w:color w:val="1D1D1D"/>
      <w:szCs w:val="32"/>
    </w:rPr>
  </w:style>
  <w:style w:type="paragraph" w:customStyle="1" w:styleId="Report-BodyLink">
    <w:name w:val="Report - Body Link"/>
    <w:basedOn w:val="Report-Body"/>
    <w:semiHidden/>
    <w:qFormat/>
    <w:rsid w:val="00782B00"/>
    <w:rPr>
      <w:color w:val="013CB3"/>
      <w:u w:val="single"/>
    </w:rPr>
  </w:style>
  <w:style w:type="paragraph" w:customStyle="1" w:styleId="Report-SubheadLvl1">
    <w:name w:val="Report - Subhead Lvl. 1"/>
    <w:basedOn w:val="p3"/>
    <w:qFormat/>
    <w:rsid w:val="000B25DA"/>
    <w:rPr>
      <w:rFonts w:ascii="Arial" w:hAnsi="Arial" w:cs="Arial"/>
      <w:b/>
      <w:bCs/>
      <w:color w:val="auto"/>
      <w:sz w:val="26"/>
      <w:szCs w:val="40"/>
    </w:rPr>
  </w:style>
  <w:style w:type="paragraph" w:styleId="Header">
    <w:name w:val="header"/>
    <w:basedOn w:val="Normal"/>
    <w:link w:val="HeaderChar"/>
    <w:uiPriority w:val="99"/>
    <w:unhideWhenUsed/>
    <w:rsid w:val="00FB37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3768"/>
  </w:style>
  <w:style w:type="paragraph" w:styleId="Footer">
    <w:name w:val="footer"/>
    <w:basedOn w:val="Normal"/>
    <w:link w:val="FooterChar"/>
    <w:uiPriority w:val="99"/>
    <w:unhideWhenUsed/>
    <w:rsid w:val="00FB376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3768"/>
  </w:style>
  <w:style w:type="character" w:styleId="PageNumber">
    <w:name w:val="page number"/>
    <w:basedOn w:val="DefaultParagraphFont"/>
    <w:uiPriority w:val="99"/>
    <w:semiHidden/>
    <w:unhideWhenUsed/>
    <w:rsid w:val="0071770E"/>
  </w:style>
  <w:style w:type="character" w:styleId="Hyperlink">
    <w:name w:val="Hyperlink"/>
    <w:basedOn w:val="DefaultParagraphFont"/>
    <w:uiPriority w:val="99"/>
    <w:unhideWhenUsed/>
    <w:rsid w:val="0093562A"/>
    <w:rPr>
      <w:color w:val="467886" w:themeColor="hyperlink"/>
      <w:u w:val="single"/>
    </w:rPr>
  </w:style>
  <w:style w:type="character" w:styleId="UnresolvedMention">
    <w:name w:val="Unresolved Mention"/>
    <w:basedOn w:val="DefaultParagraphFont"/>
    <w:uiPriority w:val="99"/>
    <w:semiHidden/>
    <w:unhideWhenUsed/>
    <w:rsid w:val="0093562A"/>
    <w:rPr>
      <w:color w:val="605E5C"/>
      <w:shd w:val="clear" w:color="auto" w:fill="E1DFDD"/>
    </w:rPr>
  </w:style>
  <w:style w:type="character" w:customStyle="1" w:styleId="normaltextrun">
    <w:name w:val="normaltextrun"/>
    <w:basedOn w:val="DefaultParagraphFont"/>
    <w:semiHidden/>
    <w:rsid w:val="00C46815"/>
  </w:style>
  <w:style w:type="paragraph" w:customStyle="1" w:styleId="paragraph">
    <w:name w:val="paragraph"/>
    <w:basedOn w:val="Normal"/>
    <w:semiHidden/>
    <w:rsid w:val="00D325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p">
    <w:name w:val="eop"/>
    <w:basedOn w:val="DefaultParagraphFont"/>
    <w:semiHidden/>
    <w:rsid w:val="00D325B2"/>
  </w:style>
  <w:style w:type="character" w:customStyle="1" w:styleId="scxw5419088">
    <w:name w:val="scxw5419088"/>
    <w:basedOn w:val="DefaultParagraphFont"/>
    <w:semiHidden/>
    <w:rsid w:val="003B55C8"/>
  </w:style>
  <w:style w:type="paragraph" w:customStyle="1" w:styleId="Report-Subhead-Lvl2">
    <w:name w:val="Report - Subhead - Lvl. 2"/>
    <w:basedOn w:val="Report-Body"/>
    <w:semiHidden/>
    <w:qFormat/>
    <w:rsid w:val="00ED6887"/>
    <w:rPr>
      <w:color w:val="auto"/>
    </w:rPr>
  </w:style>
  <w:style w:type="paragraph" w:customStyle="1" w:styleId="Report-Metadata">
    <w:name w:val="Report - Metadata"/>
    <w:basedOn w:val="Report-Body"/>
    <w:qFormat/>
    <w:rsid w:val="00F34DD5"/>
    <w:pPr>
      <w:ind w:left="720"/>
    </w:pPr>
    <w:rPr>
      <w:b/>
      <w:bCs/>
      <w:sz w:val="18"/>
      <w:szCs w:val="16"/>
    </w:rPr>
  </w:style>
  <w:style w:type="character" w:customStyle="1" w:styleId="scxw86120433">
    <w:name w:val="scxw86120433"/>
    <w:basedOn w:val="DefaultParagraphFont"/>
    <w:semiHidden/>
    <w:rsid w:val="00756906"/>
  </w:style>
  <w:style w:type="paragraph" w:customStyle="1" w:styleId="Report-SnippetSubheadLvl3">
    <w:name w:val="Report - Snippet Subhead Lvl. 3"/>
    <w:basedOn w:val="Report-Body"/>
    <w:next w:val="Report-Body"/>
    <w:semiHidden/>
    <w:qFormat/>
    <w:rsid w:val="00D10461"/>
    <w:pPr>
      <w:spacing w:before="240" w:after="240"/>
      <w:ind w:left="143" w:right="134"/>
    </w:pPr>
    <w:rPr>
      <w:rFonts w:eastAsiaTheme="majorEastAsia"/>
      <w:b/>
      <w:bCs/>
    </w:rPr>
  </w:style>
  <w:style w:type="paragraph" w:customStyle="1" w:styleId="Report-MetadataDOT">
    <w:name w:val="Report - Metadata DOT"/>
    <w:basedOn w:val="Report-Body"/>
    <w:semiHidden/>
    <w:qFormat/>
    <w:rsid w:val="0081707F"/>
    <w:pPr>
      <w:ind w:left="720"/>
    </w:pPr>
    <w:rPr>
      <w:rFonts w:eastAsiaTheme="majorEastAsia"/>
      <w:b/>
      <w:bCs/>
      <w:color w:val="7F7F7F" w:themeColor="text1" w:themeTint="80"/>
      <w:sz w:val="16"/>
      <w:szCs w:val="16"/>
    </w:rPr>
  </w:style>
  <w:style w:type="character" w:customStyle="1" w:styleId="scxw58347994">
    <w:name w:val="scxw58347994"/>
    <w:basedOn w:val="DefaultParagraphFont"/>
    <w:semiHidden/>
    <w:rsid w:val="007B77A6"/>
  </w:style>
  <w:style w:type="character" w:styleId="PlaceholderText">
    <w:name w:val="Placeholder Text"/>
    <w:basedOn w:val="DefaultParagraphFont"/>
    <w:uiPriority w:val="99"/>
    <w:semiHidden/>
    <w:rsid w:val="002233E3"/>
    <w:rPr>
      <w:color w:val="666666"/>
    </w:rPr>
  </w:style>
  <w:style w:type="table" w:styleId="TableGrid">
    <w:name w:val="Table Grid"/>
    <w:basedOn w:val="TableNormal"/>
    <w:uiPriority w:val="39"/>
    <w:semiHidden/>
    <w:rsid w:val="009A6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ummaryAndSnippets">
    <w:name w:val="SummaryAndSnippets"/>
    <w:basedOn w:val="TableNormal"/>
    <w:uiPriority w:val="99"/>
    <w:rsid w:val="009A6103"/>
    <w:pPr>
      <w:spacing w:after="0" w:line="240" w:lineRule="auto"/>
    </w:pPr>
    <w:rPr>
      <w:rFonts w:ascii="Arial" w:hAnsi="Arial"/>
    </w:rPr>
    <w:tblPr>
      <w:tblInd w:w="706" w:type="dxa"/>
      <w:tblBorders>
        <w:top w:val="single" w:sz="6" w:space="0" w:color="E8E8E8"/>
        <w:left w:val="single" w:sz="6" w:space="0" w:color="E8E8E8"/>
        <w:bottom w:val="single" w:sz="6" w:space="0" w:color="E8E8E8"/>
        <w:right w:val="single" w:sz="6" w:space="0" w:color="E8E8E8"/>
        <w:insideH w:val="single" w:sz="6" w:space="0" w:color="E8E8E8"/>
        <w:insideV w:val="single" w:sz="6" w:space="0" w:color="E8E8E8"/>
      </w:tblBorders>
      <w:tblCellMar>
        <w:top w:w="173" w:type="dxa"/>
        <w:left w:w="173" w:type="dxa"/>
        <w:bottom w:w="173" w:type="dxa"/>
        <w:right w:w="173" w:type="dxa"/>
      </w:tblCellMar>
    </w:tblPr>
    <w:tcPr>
      <w:shd w:val="clear" w:color="auto" w:fill="auto"/>
    </w:tcPr>
  </w:style>
  <w:style w:type="table" w:customStyle="1" w:styleId="AnswerBody">
    <w:name w:val="AnswerBody"/>
    <w:basedOn w:val="SummaryAndSnippets"/>
    <w:uiPriority w:val="99"/>
    <w:semiHidden/>
    <w:rsid w:val="007E5AC0"/>
    <w:tblPr>
      <w:tblInd w:w="0" w:type="dxa"/>
    </w:tblPr>
  </w:style>
  <w:style w:type="numbering" w:customStyle="1" w:styleId="ResearchSteps">
    <w:name w:val="ResearchSteps"/>
    <w:uiPriority w:val="99"/>
    <w:semiHidden/>
    <w:rsid w:val="000A62DD"/>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https://i1.next.westlaw.com/permalink/indigo/caution_orange_small.png" TargetMode="External" /><Relationship Id="rId11" Type="http://schemas.openxmlformats.org/officeDocument/2006/relationships/hyperlink" Target="https://1.next.westlaw.com/Document/I0580c3d0926011e79e029b6011d84ab0/View/FullText.html?transitionType=AIGuidedResearch&amp;contextData=%28sc.Default%29&amp;list=All&amp;listSource=WebsiteInternal&amp;conversationId=52e9ba0f-d7bb-4f40-8d1d-c56b72a4a570" TargetMode="External" /><Relationship Id="rId12" Type="http://schemas.openxmlformats.org/officeDocument/2006/relationships/hyperlink" Target="https://1.next.westlaw.com/Document/NB37511D0E92411DBB234EB2E0FBE04D9/View/FullText.html?transitionType=AIGuidedResearch&amp;contextData=%28sc.Default%29&amp;list=All&amp;listSource=WebsiteInternal&amp;conversationId=52e9ba0f-d7bb-4f40-8d1d-c56b72a4a570" TargetMode="External" /><Relationship Id="rId13" Type="http://schemas.openxmlformats.org/officeDocument/2006/relationships/hyperlink" Target="https://1.next.westlaw.com/Link/RelatedInformation/Flag?docGuid=If950718ad22011e0be8fdb5fa26a1033&amp;ppcid=i0a8983fe0000019c44017cd6f0dad8a1&amp;transitionType=AIGuidedResearch&amp;contextData=%28sc.Default%29&amp;conversationId=52e9ba0f-d7bb-4f40-8d1d-c56b72a4a570" TargetMode="External" /><Relationship Id="rId14" Type="http://schemas.openxmlformats.org/officeDocument/2006/relationships/hyperlink" Target="https://1.next.westlaw.com/Document/If950718ad22011e0be8fdb5fa26a1033/View/FullText.html?transitionType=AIGuidedResearch&amp;contextData=%28sc.Default%29&amp;list=All&amp;listSource=WebsiteInternal&amp;conversationId=52e9ba0f-d7bb-4f40-8d1d-c56b72a4a570" TargetMode="External" /><Relationship Id="rId15" Type="http://schemas.openxmlformats.org/officeDocument/2006/relationships/hyperlink" Target="https://1.next.westlaw.com/Link/RelatedInformation/Flag?docGuid=I00757f36612511e18b1ac573b20fcfb7&amp;ppcid=i0a8983fe0000019c44017cd6f0dad8a1&amp;transitionType=AIGuidedResearch&amp;contextData=%28sc.Default%29&amp;conversationId=52e9ba0f-d7bb-4f40-8d1d-c56b72a4a570" TargetMode="External" /><Relationship Id="rId16" Type="http://schemas.openxmlformats.org/officeDocument/2006/relationships/hyperlink" Target="https://1.next.westlaw.com/Document/I00757f36612511e18b1ac573b20fcfb7/View/FullText.html?transitionType=AIGuidedResearch&amp;contextData=%28sc.Default%29&amp;list=All&amp;listSource=WebsiteInternal&amp;conversationId=52e9ba0f-d7bb-4f40-8d1d-c56b72a4a570" TargetMode="External" /><Relationship Id="rId17" Type="http://schemas.openxmlformats.org/officeDocument/2006/relationships/hyperlink" Target="https://1.next.westlaw.com/Link/RelatedInformation/Flag?docGuid=I6920d099f96d11d98ac8f235252e36df&amp;ppcid=i0a89c92e0000019c44017fd25d684fa6&amp;transitionType=AIGuidedResearch&amp;contextData=%28sc.Default%29&amp;conversationId=52e9ba0f-d7bb-4f40-8d1d-c56b72a4a570" TargetMode="External" /><Relationship Id="rId18" Type="http://schemas.openxmlformats.org/officeDocument/2006/relationships/hyperlink" Target="https://1.next.westlaw.com/Document/I6920d099f96d11d98ac8f235252e36df/View/FullText.html?transitionType=AIGuidedResearch&amp;contextData=%28sc.Default%29&amp;list=All&amp;listSource=WebsiteInternal&amp;conversationId=52e9ba0f-d7bb-4f40-8d1d-c56b72a4a570" TargetMode="External" /><Relationship Id="rId19" Type="http://schemas.openxmlformats.org/officeDocument/2006/relationships/hyperlink" Target="https://1.next.westlaw.com/Document/I7660c6d3f36211dbb035bac3a32ef289/View/FullText.html?transitionType=AIGuidedResearch&amp;contextData=%28sc.Default%29&amp;list=All&amp;listSource=WebsiteInternal&amp;conversationId=52e9ba0f-d7bb-4f40-8d1d-c56b72a4a570" TargetMode="External" /><Relationship Id="rId2" Type="http://schemas.openxmlformats.org/officeDocument/2006/relationships/webSettings" Target="webSettings.xml" /><Relationship Id="rId20" Type="http://schemas.openxmlformats.org/officeDocument/2006/relationships/hyperlink" Target="https://1.next.westlaw.com/Link/RelatedInformation/Flag?docGuid=I49661627f94f11d9b386b232635db992&amp;ppcid=i0a89c92e0000019c44017fd25d684fa6&amp;transitionType=AIGuidedResearch&amp;contextData=%28sc.Default%29&amp;conversationId=52e9ba0f-d7bb-4f40-8d1d-c56b72a4a570" TargetMode="External" /><Relationship Id="rId21" Type="http://schemas.openxmlformats.org/officeDocument/2006/relationships/hyperlink" Target="https://1.next.westlaw.com/Document/I49661627f94f11d9b386b232635db992/View/FullText.html?transitionType=AIGuidedResearch&amp;contextData=%28sc.Default%29&amp;list=All&amp;listSource=WebsiteInternal&amp;conversationId=52e9ba0f-d7bb-4f40-8d1d-c56b72a4a570" TargetMode="External" /><Relationship Id="rId22" Type="http://schemas.openxmlformats.org/officeDocument/2006/relationships/hyperlink" Target="https://1.next.westlaw.com/Link/RelatedInformation/Flag?docGuid=I6189c0d11a2911dab4ecfd5f7dcef5b5&amp;ppcid=i0a89bf7f0000019c44017e5c9c73d62f&amp;transitionType=AIGuidedResearch&amp;contextData=%28sc.Default%29&amp;conversationId=52e9ba0f-d7bb-4f40-8d1d-c56b72a4a570" TargetMode="External" /><Relationship Id="rId23" Type="http://schemas.openxmlformats.org/officeDocument/2006/relationships/hyperlink" Target="https://1.next.westlaw.com/Document/I6189c0d11a2911dab4ecfd5f7dcef5b5/View/FullText.html?transitionType=AIGuidedResearch&amp;contextData=%28sc.Default%29&amp;list=All&amp;listSource=WebsiteInternal&amp;conversationId=52e9ba0f-d7bb-4f40-8d1d-c56b72a4a570" TargetMode="External" /><Relationship Id="rId24" Type="http://schemas.openxmlformats.org/officeDocument/2006/relationships/hyperlink" Target="https://1.next.westlaw.com/Document/Ic9a3f288ea6d11d9a636ebd31500554b/View/FullText.html?transitionType=AIGuidedResearch&amp;contextData=%28sc.Default%29&amp;list=All&amp;listSource=WebsiteInternal&amp;conversationId=52e9ba0f-d7bb-4f40-8d1d-c56b72a4a570" TargetMode="External" /><Relationship Id="rId25" Type="http://schemas.openxmlformats.org/officeDocument/2006/relationships/hyperlink" Target="https://1.next.westlaw.com/Document/I1ad603989a2911e8a207e0c8068c7397/View/FullText.html?transitionType=AIGuidedResearch&amp;contextData=%28sc.Default%29&amp;list=All&amp;listSource=WebsiteInternal&amp;conversationId=52e9ba0f-d7bb-4f40-8d1d-c56b72a4a570" TargetMode="External" /><Relationship Id="rId26" Type="http://schemas.openxmlformats.org/officeDocument/2006/relationships/hyperlink" Target="https://1.next.westlaw.com/Document/Ie0787c12dea811e1aa290000837bc6dd/View/FullText.html?transitionType=AIGuidedResearch&amp;contextData=%28sc.Default%29&amp;list=All&amp;listSource=WebsiteInternal&amp;conversationId=52e9ba0f-d7bb-4f40-8d1d-c56b72a4a570" TargetMode="External" /><Relationship Id="rId27" Type="http://schemas.openxmlformats.org/officeDocument/2006/relationships/hyperlink" Target="https://1.next.westlaw.com/Document/I9cf16e70d46c11f095d78ee29ec0633b/View/FullText.html?transitionType=AIGuidedResearch&amp;contextData=%28sc.Default%29&amp;list=All&amp;listSource=WebsiteInternal&amp;conversationId=52e9ba0f-d7bb-4f40-8d1d-c56b72a4a570" TargetMode="External" /><Relationship Id="rId28" Type="http://schemas.openxmlformats.org/officeDocument/2006/relationships/hyperlink" Target="https://1.next.westlaw.com/Document/Iced6fa02774711ea80afece799150095/View/FullText.html?transitionType=AIGuidedResearch&amp;contextData=%28sc.Default%29&amp;list=All&amp;listSource=WebsiteInternal&amp;conversationId=52e9ba0f-d7bb-4f40-8d1d-c56b72a4a570" TargetMode="External" /><Relationship Id="rId29" Type="http://schemas.openxmlformats.org/officeDocument/2006/relationships/hyperlink" Target="https://1.next.westlaw.com/Document/I9e21f7e6b6d811ee8921fbef1a541940/View/FullText.html?transitionType=AIGuidedResearch&amp;contextData=%28sc.Default%29&amp;list=All&amp;listSource=WebsiteInternal&amp;conversationId=52e9ba0f-d7bb-4f40-8d1d-c56b72a4a570" TargetMode="External" /><Relationship Id="rId3" Type="http://schemas.openxmlformats.org/officeDocument/2006/relationships/fontTable" Target="fontTable.xml" /><Relationship Id="rId30" Type="http://schemas.openxmlformats.org/officeDocument/2006/relationships/hyperlink" Target="https://1.next.westlaw.com/Document/I4a8a1d960e2b11ebbea4f0dc9fb69570/View/FullText.html?transitionType=AIGuidedResearch&amp;contextData=%28sc.Default%29&amp;list=All&amp;listSource=WebsiteInternal&amp;conversationId=52e9ba0f-d7bb-4f40-8d1d-c56b72a4a570" TargetMode="External" /><Relationship Id="rId31" Type="http://schemas.openxmlformats.org/officeDocument/2006/relationships/header" Target="header1.xml" /><Relationship Id="rId32" Type="http://schemas.openxmlformats.org/officeDocument/2006/relationships/footer" Target="footer1.xml" /><Relationship Id="rId33" Type="http://schemas.openxmlformats.org/officeDocument/2006/relationships/footer" Target="footer2.xml" /><Relationship Id="rId34" Type="http://schemas.openxmlformats.org/officeDocument/2006/relationships/theme" Target="theme/theme1.xml" /><Relationship Id="rId35" Type="http://schemas.openxmlformats.org/officeDocument/2006/relationships/numbering" Target="numbering.xml" /><Relationship Id="rId36" Type="http://schemas.openxmlformats.org/officeDocument/2006/relationships/styles" Target="styles.xml" /><Relationship Id="rId4" Type="http://schemas.openxmlformats.org/officeDocument/2006/relationships/hyperlink" Target="https://1.next.westlaw.com/Document/NA056F100768211DBAEE081491B2B6B69/View/FullText.html?transitionType=AIGuidedResearch&amp;contextData=%28sc.Default%29&amp;list=All&amp;listSource=WebsiteInternal&amp;conversationId=52e9ba0f-d7bb-4f40-8d1d-c56b72a4a570" TargetMode="External" /><Relationship Id="rId5" Type="http://schemas.openxmlformats.org/officeDocument/2006/relationships/hyperlink" Target="https://1.next.westlaw.com/Link/RelatedInformation/Flag?docGuid=I6467ee3f798e11d98c82a53fc8ac8757&amp;ppcid=i0a8983fe0000019c44017cd6f0dad8a1&amp;transitionType=AIGuidedResearch&amp;contextData=%28sc.Default%29&amp;conversationId=52e9ba0f-d7bb-4f40-8d1d-c56b72a4a570" TargetMode="External" /><Relationship Id="rId6" Type="http://schemas.openxmlformats.org/officeDocument/2006/relationships/image" Target="https://i1.next.westlaw.com/permalink/indigo/flag_yellow_small.png" TargetMode="External" /><Relationship Id="rId7" Type="http://schemas.openxmlformats.org/officeDocument/2006/relationships/hyperlink" Target="https://1.next.westlaw.com/Document/I6467ee3f798e11d98c82a53fc8ac8757/View/FullText.html?transitionType=AIGuidedResearch&amp;contextData=%28sc.Default%29&amp;list=All&amp;listSource=WebsiteInternal&amp;conversationId=52e9ba0f-d7bb-4f40-8d1d-c56b72a4a570" TargetMode="External" /><Relationship Id="rId8" Type="http://schemas.openxmlformats.org/officeDocument/2006/relationships/hyperlink" Target="https://1.next.westlaw.com/Link/RelatedInformation/Flag?docGuid=I0580c3d0926011e79e029b6011d84ab0&amp;ppcid=i0a8983fe0000019c44017cd6f0dad8a1&amp;transitionType=AIGuidedResearch&amp;contextData=%28sc.Default%29&amp;conversationId=52e9ba0f-d7bb-4f40-8d1d-c56b72a4a570" TargetMode="External" /><Relationship Id="rId9" Type="http://schemas.openxmlformats.org/officeDocument/2006/relationships/hyperlink" Target="https://1.next.westlaw.com/Link/RelatedInformation/Flag?docGuid=I0580c3d0926011e79e029b6011d84ab0&amp;ppcid=i0a8983fe0000019c44017cd6f0dad8a1&amp;overruleRisk=true&amp;transitionType=AIGuidedResearch&amp;contextData=%28sc.Default%29&amp;conversationId=52e9ba0f-d7bb-4f40-8d1d-c56b72a4a57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767</TotalTime>
  <Pages>15</Pages>
  <Words>45</Words>
  <Characters>941</Characters>
  <Application>Microsoft Office Word</Application>
  <DocSecurity>0</DocSecurity>
  <Lines>85</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Westlaw AI Deep Research</dc:creator>
  <cp:lastModifiedBy>Hongslo, Michael (TR Technology)</cp:lastModifiedBy>
  <cp:revision>267</cp:revision>
  <dcterms:created xsi:type="dcterms:W3CDTF">2025-07-30T20:26:00Z</dcterms:created>
  <dcterms:modified xsi:type="dcterms:W3CDTF">2026-02-02T20:41:00Z</dcterms:modified>
</cp:coreProperties>
</file>