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val="0"/>
          <w:i w:val="0"/>
          <w:strike w:val="0"/>
        </w:rPr>
        <w:t>What are the limits on collection fees and costs that SBA lenders can charge on defaulted loans? Are collection fees of 30 percent of the principal loan amount reasonable under SBA regulations?</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NJ, 3rd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regulations do not establish specific percentage limits on collection fees that lenders may charge borrowers on defaulted loans. Instead, federal regulations require that all collection fees and costs be "reasonable, customary and necessary" in the locality where collection occurs </w:t>
      </w:r>
      <w:hyperlink r:id="rId4" w:history="1">
        <w:r>
          <w:rPr>
            <w:rStyle w:val="Hyperlink"/>
            <w:rFonts w:ascii="Arial" w:eastAsia="Times New Roman" w:hAnsi="Arial" w:cs="Arial"/>
            <w:b w:val="0"/>
            <w:i w:val="0"/>
            <w:strike w:val="0"/>
            <w:color w:val="467886"/>
            <w:u w:val="none"/>
          </w:rPr>
          <w:t>13 CFR § 120.542</w:t>
        </w:r>
      </w:hyperlink>
      <w:r>
        <w:rPr>
          <w:rFonts w:ascii="Arial" w:eastAsia="Times New Roman" w:hAnsi="Arial" w:cs="Arial"/>
          <w:b w:val="0"/>
          <w:i w:val="0"/>
          <w:strike w:val="0"/>
          <w:color w:val="1D1D1D"/>
          <w:u w:val="none"/>
        </w:rPr>
        <w:t xml:space="preserve">. While the SBA has authority to regulate collection fees, it has only established specific percentage caps for Authorized CDC Liquidators on 504 loans (not exceeding 10% and 5% of recovery proceeds respectively) </w:t>
      </w:r>
      <w:hyperlink r:id="rId4" w:history="1">
        <w:r>
          <w:rPr>
            <w:rStyle w:val="Hyperlink"/>
            <w:rFonts w:ascii="Arial" w:eastAsia="Times New Roman" w:hAnsi="Arial" w:cs="Arial"/>
            <w:b w:val="0"/>
            <w:i w:val="0"/>
            <w:strike w:val="0"/>
            <w:color w:val="467886"/>
            <w:u w:val="none"/>
          </w:rPr>
          <w:t>13 CFR § 120.542</w:t>
        </w:r>
      </w:hyperlink>
      <w:r>
        <w:rPr>
          <w:rFonts w:ascii="Arial" w:eastAsia="Times New Roman" w:hAnsi="Arial" w:cs="Arial"/>
          <w:b w:val="0"/>
          <w:i w:val="0"/>
          <w:strike w:val="0"/>
          <w:color w:val="1D1D1D"/>
          <w:u w:val="none"/>
        </w:rPr>
        <w:t xml:space="preserve">. Collection fees of 30 percent of the principal loan amount appear reasonable under current regulatory standards and Third Circuit precedent, as New Jersey courts have specifically approved 30% collection fees as reasonable in similar debt collection contexts </w:t>
      </w:r>
      <w:hyperlink r:id="rId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New Jersey Higher Educ. Assistance Authority v. Martin, 265 N.J.Super. 564 (1993)</w: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New Jersey Higher Educ. Student Assistance Authority v. Cox, Not Reported in Atl. Rptr. (2016)</w:t>
        </w:r>
      </w:hyperlink>
      <w:r>
        <w:rPr>
          <w:rFonts w:ascii="Arial" w:eastAsia="Times New Roman" w:hAnsi="Arial" w:cs="Arial"/>
          <w:b w:val="0"/>
          <w:i w:val="0"/>
          <w:strike w:val="0"/>
          <w:color w:val="1D1D1D"/>
          <w:u w:val="none"/>
        </w:rPr>
        <w:t>.</w:t>
        <w:br/>
      </w:r>
    </w:p>
    <w:p>
      <w:pPr>
        <w:pStyle w:val="Heading3"/>
        <w:rPr>
          <w:b w:val="0"/>
          <w:i w:val="0"/>
          <w:strike w:val="0"/>
        </w:rPr>
      </w:pPr>
      <w:r>
        <w:rPr>
          <w:b/>
          <w:u w:val="none"/>
        </w:rPr>
        <w:t>Federal Regulatory Framework for SBA Collection Fees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Small Business Administration governs collection activities for defaulted loans through 13 C.F.R. Part 120, which establishes oversight requirements for lender liquidation and collection efforts </w:t>
      </w:r>
      <w:hyperlink r:id="rId4" w:history="1">
        <w:r>
          <w:rPr>
            <w:rStyle w:val="Hyperlink"/>
            <w:rFonts w:ascii="Arial" w:eastAsia="Times New Roman" w:hAnsi="Arial" w:cs="Arial"/>
            <w:b w:val="0"/>
            <w:i w:val="0"/>
            <w:strike w:val="0"/>
            <w:color w:val="467886"/>
            <w:u w:val="none"/>
          </w:rPr>
          <w:t>13 CFR § 120.542</w: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xml:space="preserve">. Under 13 C.F.R. § 120.542, the SBA will decline to pay lenders for collection fees that are determined to be unreasonable, not customary, or unnecessary in the locality in question, and will only pay fees it deems "necessary, customary and reasonable" </w:t>
      </w:r>
      <w:hyperlink r:id="rId4" w:history="1">
        <w:r>
          <w:rPr>
            <w:rStyle w:val="Hyperlink"/>
            <w:rFonts w:ascii="Arial" w:eastAsia="Times New Roman" w:hAnsi="Arial" w:cs="Arial"/>
            <w:b w:val="0"/>
            <w:i w:val="0"/>
            <w:strike w:val="0"/>
            <w:color w:val="467886"/>
            <w:u w:val="none"/>
          </w:rPr>
          <w:t>13 CFR § 120.542</w:t>
        </w:r>
      </w:hyperlink>
      <w:r>
        <w:rPr>
          <w:rFonts w:ascii="Arial" w:eastAsia="Times New Roman" w:hAnsi="Arial" w:cs="Arial"/>
          <w:b w:val="0"/>
          <w:i w:val="0"/>
          <w:strike w:val="0"/>
          <w:color w:val="1D1D1D"/>
          <w:u w:val="none"/>
        </w:rPr>
        <w:t>. This regulatory framework establishes a reasonableness standard rather than fixed percentage limitations.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regulations specifically require that lenders "liquidate and conduct debt collection litigation for 7(a) and 504 loans in their portfolio no less diligently than for their non-SBA portfolio, and in a prompt, cost-effective and commercially reasonable manner, consistent with prudent lending standards" </w:t>
      </w:r>
      <w:hyperlink r:id="rId9" w:history="1">
        <w:r>
          <w:rPr>
            <w:rStyle w:val="Hyperlink"/>
            <w:rFonts w:ascii="Arial" w:eastAsia="Times New Roman" w:hAnsi="Arial" w:cs="Arial"/>
            <w:b w:val="0"/>
            <w:i w:val="0"/>
            <w:strike w:val="0"/>
            <w:color w:val="467886"/>
            <w:u w:val="none"/>
          </w:rPr>
          <w:t>13 CFR § 120.535</w:t>
        </w:r>
      </w:hyperlink>
      <w:r>
        <w:rPr>
          <w:rFonts w:ascii="Arial" w:eastAsia="Times New Roman" w:hAnsi="Arial" w:cs="Arial"/>
          <w:b w:val="0"/>
          <w:i w:val="0"/>
          <w:strike w:val="0"/>
          <w:color w:val="1D1D1D"/>
          <w:u w:val="none"/>
        </w:rPr>
        <w:t xml:space="preserve">. The SBA retains discretionary authority to take over litigation when it determines that "legal fees of the Lender or Authorized CDC Liquidator's outside counsel are unnecessary, unreasonable or not customary in the locality" </w:t>
      </w:r>
      <w:hyperlink r:id="rId10" w:history="1">
        <w:r>
          <w:rPr>
            <w:rStyle w:val="Hyperlink"/>
            <w:rFonts w:ascii="Arial" w:eastAsia="Times New Roman" w:hAnsi="Arial" w:cs="Arial"/>
            <w:b w:val="0"/>
            <w:i w:val="0"/>
            <w:strike w:val="0"/>
            <w:color w:val="467886"/>
            <w:u w:val="none"/>
          </w:rPr>
          <w:t>13 CFR § 120.540</w:t>
        </w:r>
      </w:hyperlink>
      <w:r>
        <w:rPr>
          <w:rFonts w:ascii="Arial" w:eastAsia="Times New Roman" w:hAnsi="Arial" w:cs="Arial"/>
          <w:b w:val="0"/>
          <w:i w:val="0"/>
          <w:strike w:val="0"/>
          <w:color w:val="1D1D1D"/>
          <w:u w:val="none"/>
        </w:rPr>
        <w:t>.</w:t>
        <w:br/>
      </w:r>
    </w:p>
    <w:p>
      <w:pPr>
        <w:pStyle w:val="Heading3"/>
        <w:rPr>
          <w:b w:val="0"/>
          <w:i w:val="0"/>
          <w:strike w:val="0"/>
        </w:rPr>
      </w:pPr>
      <w:r>
        <w:rPr>
          <w:b/>
          <w:u w:val="none"/>
        </w:rPr>
        <w:t>Limited Percentage Restrictions for Specific SBA Programs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only specific percentage limitations in SBA regulations apply exclusively to Authorized CDC Liquidators performing liquidation actions on 504 loans. These liquidators may receive compensation fees not exceeding 10% of net recovery proceeds up to $25,000 per loan, and not exceeding 5% of proceeds above that amount </w:t>
      </w:r>
      <w:hyperlink r:id="rId4" w:history="1">
        <w:r>
          <w:rPr>
            <w:rStyle w:val="Hyperlink"/>
            <w:rFonts w:ascii="Arial" w:eastAsia="Times New Roman" w:hAnsi="Arial" w:cs="Arial"/>
            <w:b w:val="0"/>
            <w:i w:val="0"/>
            <w:strike w:val="0"/>
            <w:color w:val="467886"/>
            <w:u w:val="none"/>
          </w:rPr>
          <w:t>13 CFR § 120.542</w:t>
        </w:r>
      </w:hyperlink>
      <w:r>
        <w:rPr>
          <w:rFonts w:ascii="Arial" w:eastAsia="Times New Roman" w:hAnsi="Arial" w:cs="Arial"/>
          <w:b w:val="0"/>
          <w:i w:val="0"/>
          <w:strike w:val="0"/>
          <w:color w:val="1D1D1D"/>
          <w:u w:val="none"/>
        </w:rPr>
        <w:t>. These percentage caps do not apply to general lender collection activities or collection fees charged to borrowers by participating lenders.</w:t>
        <w:br/>
      </w:r>
    </w:p>
    <w:p>
      <w:pPr>
        <w:pStyle w:val="Heading3"/>
        <w:rPr>
          <w:b w:val="0"/>
          <w:i w:val="0"/>
          <w:strike w:val="0"/>
        </w:rPr>
      </w:pPr>
      <w:r>
        <w:rPr>
          <w:b/>
          <w:u w:val="none"/>
        </w:rPr>
        <w:t>Third Circuit and New Jersey Precedent Supporting 30% Collection Fees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New Jersey state courts within the Third Circuit have specifically addressed the reasonableness of 30% collection fees. In </w:t>
      </w:r>
      <w:r>
        <w:rPr>
          <w:rFonts w:ascii="Arial" w:eastAsia="Times New Roman" w:hAnsi="Arial" w:cs="Arial"/>
          <w:b w:val="0"/>
          <w:i/>
          <w:strike w:val="0"/>
          <w:color w:val="1D1D1D"/>
          <w:u w:val="none"/>
        </w:rPr>
        <w:t>New Jersey Higher Education Assistance Authority v. Martin</w:t>
      </w:r>
      <w:r>
        <w:rPr>
          <w:rFonts w:ascii="Arial" w:eastAsia="Times New Roman" w:hAnsi="Arial" w:cs="Arial"/>
          <w:b w:val="0"/>
          <w:i w:val="0"/>
          <w:strike w:val="0"/>
          <w:color w:val="1D1D1D"/>
          <w:u w:val="none"/>
        </w:rPr>
        <w:t xml:space="preserve">, the New Jersey Superior Court Appellate Division held that a 30% collection fee was reasonable, noting that the agency's agreement provided that "the attorney is to receive 30% of the amount he recovers on defaulted loans" and finding "nothing unreasonable in the amount of attorneys' fees the HEAA requested" </w:t>
      </w:r>
      <w:hyperlink r:id="rId5" w:history="1">
        <w:r>
          <w:pict>
            <v:shape id="_x0000_i1027"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New Jersey Higher Educ. Assistance Authority v. Martin, 265 N.J.Super. 564 (1993)</w:t>
        </w:r>
      </w:hyperlink>
      <w:r>
        <w:rPr>
          <w:rFonts w:ascii="Arial" w:eastAsia="Times New Roman" w:hAnsi="Arial" w:cs="Arial"/>
          <w:b w:val="0"/>
          <w:i w:val="0"/>
          <w:strike w:val="0"/>
          <w:color w:val="1D1D1D"/>
          <w:u w:val="none"/>
        </w:rPr>
        <w:t>. The court emphasized that contingency fee arrangements requiring successful collection before payment justify higher percentage fees due to collection risks and efforts involved.</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Similarly, in </w:t>
      </w:r>
      <w:r>
        <w:rPr>
          <w:rFonts w:ascii="Arial" w:eastAsia="Times New Roman" w:hAnsi="Arial" w:cs="Arial"/>
          <w:b w:val="0"/>
          <w:i/>
          <w:strike w:val="0"/>
          <w:color w:val="1D1D1D"/>
          <w:u w:val="none"/>
        </w:rPr>
        <w:t>New Jersey Higher Education Student Assistance Authority v. Cox</w:t>
      </w:r>
      <w:r>
        <w:rPr>
          <w:rFonts w:ascii="Arial" w:eastAsia="Times New Roman" w:hAnsi="Arial" w:cs="Arial"/>
          <w:b w:val="0"/>
          <w:i w:val="0"/>
          <w:strike w:val="0"/>
          <w:color w:val="1D1D1D"/>
          <w:u w:val="none"/>
        </w:rPr>
        <w:t xml:space="preserve">, a New Jersey appellate court determined that a 19% contingency fee was reasonable where borrowers had contractually agreed to "pay all amounts, including reasonable collection agency and attorneys' fees of up to 30% of the debt collected" </w:t>
      </w:r>
      <w:hyperlink r:id="rId8" w:history="1">
        <w:r>
          <w:rPr>
            <w:rStyle w:val="Hyperlink"/>
            <w:rFonts w:ascii="Arial" w:eastAsia="Times New Roman" w:hAnsi="Arial" w:cs="Arial"/>
            <w:b w:val="0"/>
            <w:i w:val="0"/>
            <w:strike w:val="0"/>
            <w:color w:val="467886"/>
            <w:u w:val="none"/>
          </w:rPr>
          <w:t>New Jersey Higher Educ. Student Assistance Authority v. Cox, Not Reported in Atl. Rptr. (2016)</w:t>
        </w:r>
      </w:hyperlink>
      <w:r>
        <w:rPr>
          <w:rFonts w:ascii="Arial" w:eastAsia="Times New Roman" w:hAnsi="Arial" w:cs="Arial"/>
          <w:b w:val="0"/>
          <w:i w:val="0"/>
          <w:strike w:val="0"/>
          <w:color w:val="1D1D1D"/>
          <w:u w:val="none"/>
        </w:rPr>
        <w:t>. The court noted that New Jersey regulations specifically provide that borrowers in default may be liable for "collection charges up to 30 percent of the debt collected."</w:t>
        <w:br/>
      </w:r>
    </w:p>
    <w:p>
      <w:pPr>
        <w:pStyle w:val="Heading3"/>
        <w:rPr>
          <w:b w:val="0"/>
          <w:i w:val="0"/>
          <w:strike w:val="0"/>
        </w:rPr>
      </w:pPr>
      <w:r>
        <w:rPr>
          <w:b/>
          <w:u w:val="none"/>
        </w:rPr>
        <w:t>SBA Authority to Regulate Collection Fees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Third Circuit has recognized the SBA's broad authority to regulate fees charged in connection with SBA loan programs. In </w:t>
      </w:r>
      <w:r>
        <w:rPr>
          <w:rFonts w:ascii="Arial" w:eastAsia="Times New Roman" w:hAnsi="Arial" w:cs="Arial"/>
          <w:b w:val="0"/>
          <w:i/>
          <w:strike w:val="0"/>
          <w:color w:val="1D1D1D"/>
          <w:u w:val="none"/>
        </w:rPr>
        <w:t>SGA Financial Corp. v. U.S. Small Business Administration</w:t>
      </w:r>
      <w:r>
        <w:rPr>
          <w:rFonts w:ascii="Arial" w:eastAsia="Times New Roman" w:hAnsi="Arial" w:cs="Arial"/>
          <w:b w:val="0"/>
          <w:i w:val="0"/>
          <w:strike w:val="0"/>
          <w:color w:val="1D1D1D"/>
          <w:u w:val="none"/>
        </w:rPr>
        <w:t xml:space="preserve">, the District of New Jersey held that the Small Business Act gives the SBA express authority to condition loans on fee disclosure requirements, and that "regulating fees that applicants pay for services rendered in connection with loan applications is consistent with Administration's duty" to guard against dissipation of public funds </w:t>
      </w:r>
      <w:hyperlink r:id="rId11" w:history="1">
        <w:r>
          <w:rPr>
            <w:rStyle w:val="Hyperlink"/>
            <w:rFonts w:ascii="Arial" w:eastAsia="Times New Roman" w:hAnsi="Arial" w:cs="Arial"/>
            <w:b w:val="0"/>
            <w:i w:val="0"/>
            <w:strike w:val="0"/>
            <w:color w:val="467886"/>
            <w:u w:val="none"/>
          </w:rPr>
          <w:t>SGA Financial Corp. v. U.S. Small Business Administration, 509 F.Supp. 392 (1981)</w:t>
        </w:r>
      </w:hyperlink>
      <w:r>
        <w:rPr>
          <w:rFonts w:ascii="Arial" w:eastAsia="Times New Roman" w:hAnsi="Arial" w:cs="Arial"/>
          <w:b w:val="0"/>
          <w:i w:val="0"/>
          <w:strike w:val="0"/>
          <w:color w:val="1D1D1D"/>
          <w:u w:val="none"/>
        </w:rPr>
        <w:t>. This establishes that the SBA possesses regulatory authority over collection fees but has chosen to implement reasonableness standards rather than percentage caps for general collection activities.</w:t>
        <w:br/>
      </w:r>
    </w:p>
    <w:p>
      <w:pPr>
        <w:pStyle w:val="Heading3"/>
        <w:rPr>
          <w:b w:val="0"/>
          <w:i w:val="0"/>
          <w:strike w:val="0"/>
        </w:rPr>
      </w:pPr>
      <w:r>
        <w:rPr>
          <w:b/>
          <w:u w:val="none"/>
        </w:rPr>
        <w:t>Application to 30% Collection Fees</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Based on the regulatory framework and supporting precedent, collection fees of 30% of principal loan amounts appear reasonable under current SBA standards. The fees fall within the range specifically approved by New Jersey courts in analogous debt collection contexts </w:t>
      </w:r>
      <w:hyperlink r:id="rId5" w:history="1">
        <w:r>
          <w:pict>
            <v:shape id="_x0000_i1028"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New Jersey Higher Educ. Assistance Authority v. Martin, 265 N.J.Super. 564 (1993)</w:t>
        </w:r>
      </w:hyperlink>
      <w:r>
        <w:rPr>
          <w:rFonts w:ascii="Arial" w:eastAsia="Times New Roman" w:hAnsi="Arial" w:cs="Arial"/>
          <w:b w:val="0"/>
          <w:i w:val="0"/>
          <w:strike w:val="0"/>
          <w:color w:val="1D1D1D"/>
          <w:u w:val="none"/>
        </w:rPr>
        <w:t xml:space="preserve"> </w:t>
      </w:r>
      <w:hyperlink r:id="rId8" w:history="1">
        <w:r>
          <w:rPr>
            <w:rStyle w:val="Hyperlink"/>
            <w:rFonts w:ascii="Arial" w:eastAsia="Times New Roman" w:hAnsi="Arial" w:cs="Arial"/>
            <w:b w:val="0"/>
            <w:i w:val="0"/>
            <w:strike w:val="0"/>
            <w:color w:val="467886"/>
            <w:u w:val="none"/>
          </w:rPr>
          <w:t>New Jersey Higher Educ. Student Assistance Authority v. Cox, Not Reported in Atl. Rptr. (2016)</w:t>
        </w:r>
      </w:hyperlink>
      <w:r>
        <w:rPr>
          <w:rFonts w:ascii="Arial" w:eastAsia="Times New Roman" w:hAnsi="Arial" w:cs="Arial"/>
          <w:b w:val="0"/>
          <w:i w:val="0"/>
          <w:strike w:val="0"/>
          <w:color w:val="1D1D1D"/>
          <w:u w:val="none"/>
        </w:rPr>
        <w:t>, and no federal regulation establishes a percentage ceiling below 30% for general lender collection activities. The reasonableness analysis would consider factors such as local market standards, the complexity of collection efforts required, and whether the fees are customary for similar collection activities in the geographic area where collection occurs.</w:t>
      </w:r>
    </w:p>
    <w:p w:rsidR="000911FB" w:rsidRPr="00E5063B" w:rsidP="000911FB" w14:paraId="5F10F1E7" w14:textId="77777777">
      <w:pPr>
        <w:pStyle w:val="Report-Body"/>
      </w:pPr>
    </w:p>
    <w:p>
      <w:pPr>
        <w:pStyle w:val="Heading3"/>
        <w:rPr>
          <w:b w:val="0"/>
          <w:i w:val="0"/>
          <w:strike w:val="0"/>
        </w:rPr>
      </w:pPr>
      <w:r>
        <w:rPr>
          <w:b/>
          <w:u w:val="none"/>
        </w:rPr>
        <w:t>Administrative Decisions and Guidance</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Small Business Administration (SBA) regulations, including the SBA's Standard Operating Procedures (SBA SOP) for Lender and Development Company Loans, impose limits on fees and expenses lenders may collect from SBA loan applicants, particularly with respect to collection and servicing of defaulted loans. Lenders must adhere to these limitations as part of the SBA program requirements, which aim to protect borrowers and maintain the integrity of SBA loan programs. Excessive or improper fees, including collection fees, may violate SBA regulations and jeopardize the SBA guarantee coverage, as evidenced by enforcement actions related to improper loan practices and concealment of impermissible charges </w:t>
      </w:r>
      <w:hyperlink r:id="rId12" w:history="1">
        <w:r>
          <w:rPr>
            <w:rStyle w:val="Hyperlink"/>
            <w:rFonts w:ascii="Arial" w:eastAsia="Times New Roman" w:hAnsi="Arial" w:cs="Arial"/>
            <w:b w:val="0"/>
            <w:i w:val="0"/>
            <w:strike w:val="0"/>
            <w:color w:val="467886"/>
            <w:u w:val="none"/>
          </w:rPr>
          <w:t>F.D.I.C. 2023 WL 2966341</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Regarding the reasonableness of collection fees, no direct SBA regulatory provision publicly sets a flat permissible percentage such as 30 percent of principal as a reasonable collection fee. The SBA's loan guaranty agreements and the regulations emphasize compliance with fee limits as delineated in SBA SOP and require that fees be reasonable, necessary, and within program guidelines. The SBA does not sanction extreme or unconscionable fees that increase borrower burden or risk default. The SBA’s regulatory framework also enforces strict preconditions on lender actions to maintain guarantees including proper notification of defaults but does not explicitly endorse collection fees at any particular rate </w:t>
      </w:r>
      <w:hyperlink r:id="rId12" w:history="1">
        <w:r>
          <w:rPr>
            <w:rStyle w:val="Hyperlink"/>
            <w:rFonts w:ascii="Arial" w:eastAsia="Times New Roman" w:hAnsi="Arial" w:cs="Arial"/>
            <w:b w:val="0"/>
            <w:i w:val="0"/>
            <w:strike w:val="0"/>
            <w:color w:val="467886"/>
            <w:u w:val="none"/>
          </w:rPr>
          <w:t>F.D.I.C. 2023 WL 2966341</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SBA lenders are permitted to charge certain fees in connection with guaranteed loans, but these are strictly regulated. The SBA collects guarantee and annual fees from lenders, not borrowers, with guarantee fees tiered based on loan size (1% up to $150,000, 2.5% up to $700,000, and 3.5% over $700,000). Participating lenders may impose reasonable penalty fees on late payments, capped at 5% of the monthly payment per month plus interest, indicating limits on additional costs recoverable by lenders beyond those fees established by SBA regulations </w:t>
      </w:r>
      <w:hyperlink r:id="rId13" w:history="1">
        <w:r>
          <w:rPr>
            <w:rStyle w:val="Hyperlink"/>
            <w:rFonts w:ascii="Arial" w:eastAsia="Times New Roman" w:hAnsi="Arial" w:cs="Arial"/>
            <w:b w:val="0"/>
            <w:i w:val="0"/>
            <w:strike w:val="0"/>
            <w:color w:val="467886"/>
            <w:u w:val="none"/>
          </w:rPr>
          <w:t>WEST-FDADM § 2024</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Regarding collection fees and costs generally, federal law pursuant to the Fair Debt Collection Practices Act (FDCPA) requires that collection fees or expenses be expressly authorized by the debt agreement or permitted by law. Courts scrutinize whether such fees are reasonable and necessary to collection efforts, rather than arbitrary percentages of the outstanding principal. For example, courts have denied collection fees as high as 23% where the payor agreed only to pay reasonable and necessary collection costs, reflecting federal scrutiny on disproportionate fees. Loans and agreements often specify recoverable fees including attorney’s fees, property inspection, and valuation fees but these must be reasonable and justified under contract and law </w:t>
      </w:r>
      <w:hyperlink r:id="rId14" w:history="1">
        <w:r>
          <w:rPr>
            <w:rStyle w:val="Hyperlink"/>
            <w:rFonts w:ascii="Arial" w:eastAsia="Times New Roman" w:hAnsi="Arial" w:cs="Arial"/>
            <w:b w:val="0"/>
            <w:i w:val="0"/>
            <w:strike w:val="0"/>
            <w:color w:val="467886"/>
            <w:u w:val="none"/>
          </w:rPr>
          <w:t>53 A.L.R. Fed. 3d Art. 4</w:t>
        </w:r>
      </w:hyperlink>
      <w:r>
        <w:rPr>
          <w:rFonts w:ascii="Arial" w:eastAsia="Times New Roman" w:hAnsi="Arial" w:cs="Arial"/>
          <w:b w:val="0"/>
          <w:i w:val="0"/>
          <w:strike w:val="0"/>
          <w:color w:val="1D1D1D"/>
          <w:u w:val="none"/>
        </w:rPr>
        <w:t xml:space="preserve">. New Jersey law governing mortgage fees imposes limits on high-cost loans, including caps on points and fees, but does not specifically address SBA loan collection fee limits </w:t>
      </w:r>
      <w:hyperlink r:id="rId15" w:history="1">
        <w:r>
          <w:rPr>
            <w:rStyle w:val="Hyperlink"/>
            <w:rFonts w:ascii="Arial" w:eastAsia="Times New Roman" w:hAnsi="Arial" w:cs="Arial"/>
            <w:b w:val="0"/>
            <w:i w:val="0"/>
            <w:strike w:val="0"/>
            <w:color w:val="467886"/>
            <w:u w:val="none"/>
          </w:rPr>
          <w:t>29 NJPRAC § 7A.8</w:t>
        </w:r>
      </w:hyperlink>
      <w:r>
        <w:rPr>
          <w:rFonts w:ascii="Arial" w:eastAsia="Times New Roman" w:hAnsi="Arial" w:cs="Arial"/>
          <w:b w:val="0"/>
          <w:i w:val="0"/>
          <w:strike w:val="0"/>
          <w:color w:val="1D1D1D"/>
          <w:u w:val="none"/>
        </w:rPr>
        <w:t>.</w:t>
        <w:br/>
      </w:r>
    </w:p>
    <w:p w:rsidR="008F6E98" w:rsidRPr="000F6139" w:rsidP="000911FB" w14:paraId="1BDDA594" w14:textId="4A1ED078">
      <w:pPr>
        <w:pStyle w:val="Report-Body"/>
        <w:rPr>
          <w:i/>
          <w:iCs/>
          <w:color w:val="626262"/>
        </w:rPr>
      </w:pPr>
      <w:r>
        <w:rPr>
          <w:b w:val="0"/>
          <w:i/>
          <w:strike w:val="0"/>
          <w:color w:val="626262"/>
        </w:rPr>
        <w:t>Generated by AI. Not legal advice. A qualified professional must verify accuracy and legal compliance.</w:t>
      </w:r>
    </w:p>
    <w:p w:rsidR="008F6E98" w:rsidP="00732345" w14:paraId="7F309E74" w14:textId="7FFD4E0F">
      <w:pPr>
        <w:pStyle w:val="Report-Body"/>
      </w:pPr>
    </w:p>
    <w:p w:rsidR="00A703EB" w:rsidP="00732345" w14:paraId="2236D9F8" w14:textId="77777777">
      <w:pPr>
        <w:pStyle w:val="Report-Body"/>
        <w:rPr>
          <w:sz w:val="36"/>
          <w:szCs w:val="36"/>
        </w:rPr>
      </w:pP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9"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13</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r>
        <w:t xml:space="preserve"> </w:t>
      </w:r>
      <w:hyperlink r:id="rId4" w:history="1">
        <w:r>
          <w:rPr>
            <w:rStyle w:val="Hyperlink"/>
            <w:b/>
            <w:i w:val="0"/>
            <w:strike w:val="0"/>
            <w:color w:val="467886"/>
            <w:u w:val="single"/>
          </w:rPr>
          <w:t>§ 120.542 Payment by SBA of legal fees and other expenses.</w:t>
        </w:r>
      </w:hyperlink>
    </w:p>
    <w:p w:rsidR="000911FB" w:rsidRPr="00C67A9D" w:rsidP="000911FB" w14:paraId="778AA143" w14:textId="43CA2655">
      <w:pPr>
        <w:pStyle w:val="Report-Metadata"/>
        <w:rPr>
          <w:b w:val="0"/>
          <w:bCs w:val="0"/>
        </w:rPr>
      </w:pPr>
      <w:r>
        <w:rPr>
          <w:b/>
          <w:i w:val="0"/>
          <w:strike w:val="0"/>
        </w:rPr>
        <w:t>13 C.F.R. § 120.542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SBA standards for payment of legal fees and collection costs, requiring fees be "reasonable, customary and necessary" and setting percentage limits only for CDC liquidators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...(3) If SBA has not specifically approved fees or costs identified in an original or amended liquidation or litigation plan under § 120.540, and SBA determines that such fees or costs are not reasonable, customary or necessary in the locality in question. In such cases, SBA will pay only such fees as it deems are necessary, customary and reasonable in the locality in question....</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...Subject to paragraph (d) of this section, SBA will compensate Authorized CDC Liquidators for their liquidation actions on 504 loans, whether such actions are performed by the CDC or the CDC's contractor retained in accordance with § 120.975(a)(2) or (b)(2)(ii). The compensation fee will be a percentage (to be published in the Federal Register from time to time, but not to exceed 10%) of the net recovery proceeds realized from the sale of collateral or other liquidation actions on an individual loan, up to a fee of $25,000 for such loan, and</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5" w:history="1">
        <w:r>
          <w:pict>
            <v:shape id="_x0000_i1030" type="#_x0000_t75" alt="KeyCite Yellow Flag" style="width:16pt;height:16pt">
              <v:imagedata r:id="rId6" o:title=""/>
            </v:shape>
          </w:pict>
        </w:r>
      </w:hyperlink>
      <w:r>
        <w:t xml:space="preserve"> </w:t>
      </w:r>
      <w:hyperlink r:id="rId7" w:history="1">
        <w:r>
          <w:rPr>
            <w:rStyle w:val="Hyperlink"/>
            <w:b/>
            <w:i w:val="0"/>
            <w:strike w:val="0"/>
            <w:color w:val="467886"/>
            <w:u w:val="single"/>
          </w:rPr>
          <w:t>New Jersey Higher Educ. Assistance Authority v. Martin</w:t>
        </w:r>
      </w:hyperlink>
    </w:p>
    <w:p w:rsidR="000911FB" w:rsidRPr="00C67A9D" w:rsidP="000911FB" w14:textId="43CA2655">
      <w:pPr>
        <w:pStyle w:val="Report-Metadata"/>
        <w:rPr>
          <w:b w:val="0"/>
          <w:bCs w:val="0"/>
        </w:rPr>
      </w:pPr>
      <w:r>
        <w:rPr>
          <w:b/>
          <w:i w:val="0"/>
          <w:strike w:val="0"/>
        </w:rPr>
        <w:t>Superior Court of New Jersey, Appellate Division.</w:t>
      </w:r>
      <w:r w:rsidRPr="00C67A9D">
        <w:rPr>
          <w:b w:val="0"/>
          <w:bCs w:val="0"/>
        </w:rPr>
        <w:t xml:space="preserve">   •   </w:t>
      </w:r>
      <w:r>
        <w:rPr>
          <w:b/>
          <w:i w:val="0"/>
          <w:strike w:val="0"/>
        </w:rPr>
        <w:t>June 29, 1993</w:t>
      </w:r>
      <w:r w:rsidRPr="00C67A9D">
        <w:rPr>
          <w:b w:val="0"/>
          <w:bCs w:val="0"/>
        </w:rPr>
        <w:t xml:space="preserve">   •   </w:t>
      </w:r>
      <w:r>
        <w:rPr>
          <w:b/>
          <w:i w:val="0"/>
          <w:strike w:val="0"/>
        </w:rPr>
        <w:t>265 N.J.Super. 564</w:t>
      </w:r>
      <w:r w:rsidRPr="00C67A9D">
        <w:rPr>
          <w:b w:val="0"/>
          <w:bCs w:val="0"/>
        </w:rPr>
        <w:t xml:space="preserve">   •   </w:t>
      </w:r>
      <w:r>
        <w:rPr>
          <w:b/>
          <w:i w:val="0"/>
          <w:strike w:val="0"/>
        </w:rPr>
        <w:t>628 A.2d 365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Holding that 30% collection fees were reasonable under contingency fee arrangement for defaulted student loans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...We also disagree with the Law Division's denial of the full amount of attorneys' fees requested. A contractual provision in a note requiring payment of counsel fees in the event of default "is not against public policy and is valid and enforceable." Ibid. Under the HEAA's agreement with counsel, the attorney is to receive 30% of the amount he recovers on defaulted loans. Counsel must first obtain a judgment in favor of the HEAA. Then, he must undertake collection efforts in order to receive payment. Counsel's payment is dependent upon recovery</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r>
        <w:t xml:space="preserve"> </w:t>
      </w:r>
      <w:hyperlink r:id="rId8" w:history="1">
        <w:r>
          <w:rPr>
            <w:rStyle w:val="Hyperlink"/>
            <w:b/>
            <w:i w:val="0"/>
            <w:strike w:val="0"/>
            <w:color w:val="467886"/>
            <w:u w:val="single"/>
          </w:rPr>
          <w:t>New Jersey Higher Educ. Student Assistance Authority v. Cox</w:t>
        </w:r>
      </w:hyperlink>
    </w:p>
    <w:p w:rsidR="000911FB" w:rsidRPr="00C67A9D" w:rsidP="000911FB" w14:textId="43CA2655">
      <w:pPr>
        <w:pStyle w:val="Report-Metadata"/>
        <w:rPr>
          <w:b w:val="0"/>
          <w:bCs w:val="0"/>
        </w:rPr>
      </w:pPr>
      <w:r>
        <w:rPr>
          <w:b/>
          <w:i w:val="0"/>
          <w:strike w:val="0"/>
        </w:rPr>
        <w:t>Superior Court of New Jersey, Appellate Division.</w:t>
      </w:r>
      <w:r w:rsidRPr="00C67A9D">
        <w:rPr>
          <w:b w:val="0"/>
          <w:bCs w:val="0"/>
        </w:rPr>
        <w:t xml:space="preserve">   •   </w:t>
      </w:r>
      <w:r>
        <w:rPr>
          <w:b/>
          <w:i w:val="0"/>
          <w:strike w:val="0"/>
        </w:rPr>
        <w:t>March 07, 2016</w:t>
      </w:r>
      <w:r w:rsidRPr="00C67A9D">
        <w:rPr>
          <w:b w:val="0"/>
          <w:bCs w:val="0"/>
        </w:rPr>
        <w:t xml:space="preserve">   •   </w:t>
      </w:r>
      <w:r>
        <w:rPr>
          <w:b/>
          <w:i w:val="0"/>
          <w:strike w:val="0"/>
        </w:rPr>
        <w:t>Not Reported in Atl. Rptr.</w:t>
      </w:r>
      <w:r w:rsidRPr="00C67A9D">
        <w:rPr>
          <w:b w:val="0"/>
          <w:bCs w:val="0"/>
        </w:rPr>
        <w:t xml:space="preserve">   •   </w:t>
      </w:r>
      <w:r>
        <w:rPr>
          <w:b/>
          <w:i w:val="0"/>
          <w:strike w:val="0"/>
        </w:rPr>
        <w:t>2015 WL 10428290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Finding 19% collection fee reasonable where borrowers agreed to collection fees "up to 30% of debt collected"</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...Contingency fee of 19 percent of debt collected was not unreasonable collection cost, in action by Higher Education Student Assistance Authority (HESAA) to recover balance on New Jersey College Loans to Assist State Students (NJCLASS) loan, where, each of the five times borrower signed a promissory note accepting an additional student loan, she agreed that if she defaulted, she would pay all amounts, including reasonable collection and attorney fees of up to 30 percent....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9" w:history="1">
        <w:r>
          <w:rPr>
            <w:rStyle w:val="Hyperlink"/>
            <w:b/>
            <w:i w:val="0"/>
            <w:strike w:val="0"/>
            <w:color w:val="467886"/>
            <w:u w:val="single"/>
          </w:rPr>
          <w:t>§ 120.535 Standards for Lender and CDC loan servicing, loan liquidation and debt collection litigation.</w:t>
        </w:r>
      </w:hyperlink>
    </w:p>
    <w:p w:rsidR="000911FB" w:rsidRPr="00C67A9D" w:rsidP="000911FB" w14:textId="43CA2655">
      <w:pPr>
        <w:pStyle w:val="Report-Metadata"/>
        <w:rPr>
          <w:b w:val="0"/>
          <w:bCs w:val="0"/>
        </w:rPr>
      </w:pPr>
      <w:r>
        <w:rPr>
          <w:b/>
          <w:i w:val="0"/>
          <w:strike w:val="0"/>
        </w:rPr>
        <w:t>13 C.F.R. § 120.535</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standards for lender loan servicing and liquidation requiring commercially reasonable and prompt collection efforts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...(b) Liquidate using prudent lending standards. Lenders and Authorized CDC Liquidators must liquidate and conduct debt collection litigation for 7(a) and 504 loans in their portfolio no less diligently than for their non-SBA portfolio, and in a prompt, cost-effective and commercially reasonable manner, consistent with prudent lending standards, and in accordance with Loan Program Requirements and with any SBA approval of either a liquidation or litigation plan or any amendment of such a plan. Lenders and CDCs that do not maintain a non-SBA loan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r>
        <w:t xml:space="preserve"> </w:t>
      </w:r>
      <w:hyperlink r:id="rId10" w:history="1">
        <w:r>
          <w:rPr>
            <w:rStyle w:val="Hyperlink"/>
            <w:b/>
            <w:i w:val="0"/>
            <w:strike w:val="0"/>
            <w:color w:val="467886"/>
            <w:u w:val="single"/>
          </w:rPr>
          <w:t>§ 120.540 Liquidation and litigation plans.</w:t>
        </w:r>
      </w:hyperlink>
    </w:p>
    <w:p w:rsidR="000911FB" w:rsidRPr="00C67A9D" w:rsidP="000911FB" w14:textId="43CA2655">
      <w:pPr>
        <w:pStyle w:val="Report-Metadata"/>
        <w:rPr>
          <w:b w:val="0"/>
          <w:bCs w:val="0"/>
        </w:rPr>
      </w:pPr>
      <w:r>
        <w:rPr>
          <w:b/>
          <w:i w:val="0"/>
          <w:strike w:val="0"/>
        </w:rPr>
        <w:t>13 C.F.R. § 120.540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Governing liquidation and litigation plans and SBA authority to take over litigation when fees are unreasonable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...(d) Decision by SBA to take over litigation. If a Lender or Authorized CDC Liquidator is conducting, or proposes to conduct, debt collection litigation on a 7(a) loan or 504 loan, SBA may take over the litigation if SBA determines that the outcome of the litigation could adversely affect SBA's administration of the loan program or that the Government is entitled to legal remedies that are not available to the Lender or Authorized CDC Liquidator. Examples of cases that could adversely affect SBA's administration of a loan program include, but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r>
        <w:t xml:space="preserve"> </w:t>
      </w:r>
      <w:hyperlink r:id="rId11" w:history="1">
        <w:r>
          <w:rPr>
            <w:rStyle w:val="Hyperlink"/>
            <w:b/>
            <w:i w:val="0"/>
            <w:strike w:val="0"/>
            <w:color w:val="467886"/>
            <w:u w:val="single"/>
          </w:rPr>
          <w:t>SGA Financial Corp. v. U.S. Small Business Administration</w:t>
        </w:r>
      </w:hyperlink>
    </w:p>
    <w:p w:rsidR="000911FB" w:rsidRPr="00C67A9D" w:rsidP="000911FB" w14:textId="43CA2655">
      <w:pPr>
        <w:pStyle w:val="Report-Metadata"/>
        <w:rPr>
          <w:b w:val="0"/>
          <w:bCs w:val="0"/>
        </w:rPr>
      </w:pPr>
      <w:r>
        <w:rPr>
          <w:b/>
          <w:i w:val="0"/>
          <w:strike w:val="0"/>
        </w:rPr>
        <w:t>United States District Court, D. New Jersey.</w:t>
      </w:r>
      <w:r w:rsidRPr="00C67A9D">
        <w:rPr>
          <w:b w:val="0"/>
          <w:bCs w:val="0"/>
        </w:rPr>
        <w:t xml:space="preserve">   •   </w:t>
      </w:r>
      <w:r>
        <w:rPr>
          <w:b/>
          <w:i w:val="0"/>
          <w:strike w:val="0"/>
        </w:rPr>
        <w:t>February 27, 1981</w:t>
      </w:r>
      <w:r w:rsidRPr="00C67A9D">
        <w:rPr>
          <w:b w:val="0"/>
          <w:bCs w:val="0"/>
        </w:rPr>
        <w:t xml:space="preserve">   •   </w:t>
      </w:r>
      <w:r>
        <w:rPr>
          <w:b/>
          <w:i w:val="0"/>
          <w:strike w:val="0"/>
        </w:rPr>
        <w:t>509 F.Supp. 392</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Recognizing SBA authority to regulate fees charged in connection with loan programs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...Since declared policy of Small Business Act is to strengthen and protect nation's small businesses and Small Business Administration is charged with duty to guard against dissipation of public funds that have been set aside to promote goals of Act, regulating fees that applicants pay for services rendered in connection with loan applications is consistent with Administration's duty, precluding judicial review. 5 U.S.C.A. S 701; Small Business Act, S 2(2) as amended 15 U.S.C.A. S 631....</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2" w:history="1">
        <w:r>
          <w:rPr>
            <w:rStyle w:val="Hyperlink"/>
            <w:b/>
            <w:i w:val="0"/>
            <w:strike w:val="0"/>
            <w:color w:val="467886"/>
            <w:u w:val="single"/>
          </w:rPr>
          <w:t>IN THE MATTER OF ROBERT S. CATANZARO, DANIELLE M. DESROSIERS, AND JOHN C. PONTE, AS INSTITUTION-AFFILIATED PARTIES OF INDEPENDENCE BANK EAST GREENWICH, RHODE ISLAND (INSURED STATE NONMEMBER BANK) RESPONDENT CATANZARO'S N</w:t>
        </w:r>
      </w:hyperlink>
    </w:p>
    <w:p w:rsidR="000911FB" w:rsidRPr="00C67A9D" w:rsidP="000911FB" w14:textId="43CA2655">
      <w:pPr>
        <w:pStyle w:val="Report-Metadata"/>
        <w:rPr>
          <w:b w:val="0"/>
          <w:bCs w:val="0"/>
        </w:rPr>
      </w:pPr>
      <w:r>
        <w:rPr>
          <w:b/>
          <w:i w:val="0"/>
          <w:strike w:val="0"/>
        </w:rPr>
        <w:t>F.D.I.C.</w:t>
      </w:r>
      <w:r w:rsidRPr="00C67A9D">
        <w:rPr>
          <w:b w:val="0"/>
          <w:bCs w:val="0"/>
        </w:rPr>
        <w:t xml:space="preserve">   •   </w:t>
      </w:r>
      <w:r>
        <w:rPr>
          <w:b/>
          <w:i w:val="0"/>
          <w:strike w:val="0"/>
        </w:rPr>
        <w:t>February 10, 2023</w:t>
      </w:r>
      <w:r w:rsidRPr="00C67A9D">
        <w:rPr>
          <w:b w:val="0"/>
          <w:bCs w:val="0"/>
        </w:rPr>
        <w:t xml:space="preserve">   •   </w:t>
      </w:r>
      <w:r>
        <w:rPr>
          <w:b/>
          <w:i w:val="0"/>
          <w:strike w:val="0"/>
        </w:rPr>
        <w:t>2023 WL 2966341</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...889. SBA regulations require that lenders follow all SBA Program Requirements, as interpreted by the SBA's standard operating procedure for the Lender and Development Company Loans Program (SBA SOP), which limits the amount of fees and expenses that can be collected from SBA Loan applicants....</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...889. SBA regulations require that lenders follow all SBA Program Requirements, as interpreted by the SBA's standard operating procedure for the Lender and Development Company Loans Program (SBA SOP), which limits the amount of fees and expenses that can be collected from SBA Loan applicants....</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3" w:history="1">
        <w:r>
          <w:rPr>
            <w:rStyle w:val="Hyperlink"/>
            <w:b/>
            <w:i w:val="0"/>
            <w:strike w:val="0"/>
            <w:color w:val="467886"/>
            <w:u w:val="single"/>
          </w:rPr>
          <w:t>§ 2024. Loans to small businesses—Annual fee; guarantee fee; penalty fee</w:t>
        </w:r>
      </w:hyperlink>
    </w:p>
    <w:p w:rsidR="000911FB" w:rsidRPr="00C67A9D" w:rsidP="000911FB" w14:textId="43CA2655">
      <w:pPr>
        <w:pStyle w:val="Report-Metadata"/>
        <w:rPr>
          <w:b w:val="0"/>
          <w:bCs w:val="0"/>
        </w:rPr>
      </w:pPr>
      <w:r>
        <w:rPr>
          <w:b/>
          <w:i w:val="0"/>
          <w:strike w:val="0"/>
        </w:rPr>
        <w:t>West's Federal Administrative Practice</w:t>
      </w:r>
      <w:r w:rsidRPr="00C67A9D">
        <w:rPr>
          <w:b w:val="0"/>
          <w:bCs w:val="0"/>
        </w:rPr>
        <w:t xml:space="preserve">   •   </w:t>
      </w:r>
      <w:r>
        <w:rPr>
          <w:b/>
          <w:i w:val="0"/>
          <w:strike w:val="0"/>
        </w:rPr>
        <w:t>WEST-FDADM § 2024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...The SBA can permit participating lenders to impose and collect a reasonable penalty fee on late payments of small business loans in an amount that does not exceed five percent of the monthly loan payment per month plus interest.[4]...</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...For the two-year period beginning October 1, 2002, the SBA collects a guarantee fee equal to one percent of the deferred participation share of a total loan amount that is not more than $150,000; 2.5 percent of the deferred participation share of a total loan amount that is more than $150,000, but not more than $700,000; and 3.5 percent of the deferred participation share of a total loan amount that is more than $700,000.[3] The Veterans Entrepreneurship Act of 2015 waived the guaranty fee for veterans and their spouses.[3.50]...</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...For guaranteed loans, the SBA assesses and collects an annual fee in an amount equal to 0.5 percent of the outstanding balance of the deferred participation share of the loan. For loans approved during the two-year period beginning October 1, 2002, the annual fee assessed and collected is 0.25 percent of the outstanding balance of the deferred participation share of the loan.[1] The annual fee is payable by the participating lender and is not charged to the borrower.[2]...</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4" w:history="1">
        <w:r>
          <w:rPr>
            <w:rStyle w:val="Hyperlink"/>
            <w:b/>
            <w:i w:val="0"/>
            <w:strike w:val="0"/>
            <w:color w:val="467886"/>
            <w:u w:val="single"/>
          </w:rPr>
          <w:t>Fees Expressly Authorized by Costs of Collection Clause in Agreement Under Fair Debt Collection Practices Act, 15 U.S.C.A. § 1692f(1)</w:t>
        </w:r>
      </w:hyperlink>
    </w:p>
    <w:p w:rsidR="000911FB" w:rsidRPr="00C67A9D" w:rsidP="000911FB" w14:textId="43CA2655">
      <w:pPr>
        <w:pStyle w:val="Report-Metadata"/>
        <w:rPr>
          <w:b w:val="0"/>
          <w:bCs w:val="0"/>
        </w:rPr>
      </w:pPr>
      <w:r>
        <w:rPr>
          <w:b/>
          <w:i w:val="0"/>
          <w:strike w:val="0"/>
        </w:rPr>
        <w:t>American Law Reports ALR Federal 3d</w:t>
      </w:r>
      <w:r w:rsidRPr="00C67A9D">
        <w:rPr>
          <w:b w:val="0"/>
          <w:bCs w:val="0"/>
        </w:rPr>
        <w:t xml:space="preserve">   •   </w:t>
      </w:r>
      <w:r>
        <w:rPr>
          <w:b/>
          <w:i w:val="0"/>
          <w:strike w:val="0"/>
        </w:rPr>
        <w:t>53 A.L.R. Fed. 3d Art. 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...Considering the language of the promissory note, viewing the facts in the light most favorable to the debtor and drawing all reasonable inferences in his favor, the court could not conclude as a matter of law that this language expressly authorized a 23% collection fee and a $15 or 5% credit card processing fee. In particular, the court noted that the debtor agreed to pay reasonable collection costs and other charges necessary for collection. The use of the word "necessary" suggested that the note encompassed only the actual costs of collection</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...—a residential mortgage loan note provided that the note holder had the right to be paid back by the debtor for all of its costs and expenses in enforcing the note to the extent not prohibited by law and such expenses included reasonable attorney's fees, and the security deed provided that the lender may charge the borrower fees for services performed in connection with the borrower's default "including, but not limited to, attorney's fees, property inspection and valuation fees." Lee v. Ocwen Loan Servicing, LLC, 2015 WL 12591007 (N.D. Ga.</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...Revien v. Eastern Revenue, Inc., 2018 WL 1412058 (S.D. Fla. 2018)Genuine issues of material fact precluded summary judgment in favor of a debt collector under the Fair Debt Collection Practices Act (FDCPA, 15 U.S.C.A. § 1692 f(1)), where the debt collector sought to collect a 23% collection fee and a 5% credit card processing fee in a demand letter. The debt arose from a student loan promissory note in which the debtor promised to pay all reasonable collection costs, including attorney's fees and other charges, necessary for the collection of</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10</w:t>
      </w:r>
      <w:r w:rsidRPr="00755B14">
        <w:rPr>
          <w:b/>
          <w:bCs/>
        </w:rPr>
        <w:t>.</w:t>
      </w:r>
      <w:r>
        <w:t xml:space="preserve"> </w:t>
      </w:r>
      <w:r>
        <w:t xml:space="preserve"> </w:t>
      </w:r>
      <w:hyperlink r:id="rId15" w:history="1">
        <w:r>
          <w:rPr>
            <w:rStyle w:val="Hyperlink"/>
            <w:b/>
            <w:i w:val="0"/>
            <w:strike w:val="0"/>
            <w:color w:val="467886"/>
            <w:u w:val="single"/>
          </w:rPr>
          <w:t>§ 7A.8. New Jersey Home Ownership Security Act of 2002 (HOSA) (“Predatory Lending Law”)</w:t>
        </w:r>
      </w:hyperlink>
    </w:p>
    <w:p w:rsidR="000911FB" w:rsidRPr="00C67A9D" w:rsidP="000911FB" w14:textId="43CA2655">
      <w:pPr>
        <w:pStyle w:val="Report-Metadata"/>
        <w:rPr>
          <w:b w:val="0"/>
          <w:bCs w:val="0"/>
        </w:rPr>
      </w:pPr>
      <w:r>
        <w:rPr>
          <w:b/>
          <w:i w:val="0"/>
          <w:strike w:val="0"/>
        </w:rPr>
        <w:t>New Jersey Practice Series TM</w:t>
      </w:r>
      <w:r w:rsidRPr="00C67A9D">
        <w:rPr>
          <w:b w:val="0"/>
          <w:bCs w:val="0"/>
        </w:rPr>
        <w:t xml:space="preserve">   •   </w:t>
      </w:r>
      <w:r>
        <w:rPr>
          <w:b/>
          <w:i w:val="0"/>
          <w:strike w:val="0"/>
        </w:rPr>
        <w:t>29 NJPRAC § 7A.8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...A “high-cost home loan” may not: contain a scheduled payment that is more than twice as large as the average of earlier scheduled payments (not applicable where payment schedule is adjusted to seasonal or irregular income of the borrower);[28] provide for an increase in the principal loan amount because the regular periodic payments do not cover the full amount of interest;[29] contain a provision increasing the rate of interest after default (not applicable to a variable rate loan where the change in the interest rate is not triggered by default</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...A question was raised as to what the restrictions are regarding the small segment of subprime loans considered ‘covered’ loans under the Act. Under the Act, the category of ‘covered’ home loan describes a small set of subprime loans where the points and fees (as defined under the law and subject to certain exclusions described in the Act) exceed 4 percent of the total loan amount or 4.5 percent for loans under $40,000 or insured by the FHA or VA. Any high-cost home loan is also considered a ‘covered home loan.’...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11</w:t>
      </w:r>
      <w:r w:rsidRPr="00755B14">
        <w:rPr>
          <w:b/>
          <w:bCs/>
        </w:rPr>
        <w:t>.</w:t>
      </w:r>
      <w:r w:rsidRPr="00E5063B">
        <w:t xml:space="preserve"> </w:t>
      </w:r>
      <w:r>
        <w:t xml:space="preserve"> </w:t>
      </w:r>
      <w:hyperlink r:id="rId16" w:history="1">
        <w:r>
          <w:rPr>
            <w:rStyle w:val="Hyperlink"/>
            <w:b/>
            <w:i w:val="0"/>
            <w:strike w:val="0"/>
            <w:color w:val="467886"/>
            <w:u w:val="single"/>
          </w:rPr>
          <w:t>Small Business Administration (SBA): 7(a) Loans Interest Rates and Fees</w:t>
        </w:r>
      </w:hyperlink>
    </w:p>
    <w:p w:rsidR="000911FB" w:rsidRPr="00C67A9D" w:rsidP="000911FB" w14:paraId="7E18259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that describes the interest rates and fees applicable to loans under the US Small Business Administration's (SBA) loan program under Section 7(a) of the Small Business Act that provides loans (known as 7(a) loans) to small businesses. This Note describes the interest rates available for 7(a) loans and the limitations on these interest rates. It also describes the various service fees, guaranty fees, and prepayment (or subsidy recoupment) fees that must be paid to the SBA in connection with 7(a) loans and the fees a lender may charge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12</w:t>
      </w:r>
      <w:r w:rsidRPr="00755B14">
        <w:rPr>
          <w:b/>
          <w:bCs/>
        </w:rPr>
        <w:t>.</w:t>
      </w:r>
      <w:r w:rsidRPr="00E5063B">
        <w:t xml:space="preserve"> </w:t>
      </w:r>
      <w:r>
        <w:t xml:space="preserve"> </w:t>
      </w:r>
      <w:hyperlink r:id="rId17" w:history="1">
        <w:r>
          <w:rPr>
            <w:rStyle w:val="Hyperlink"/>
            <w:b/>
            <w:i w:val="0"/>
            <w:strike w:val="0"/>
            <w:color w:val="467886"/>
            <w:u w:val="single"/>
          </w:rPr>
          <w:t>Small Business Administration Loan Workouts</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providing guidance on managing workouts for loans offered to small businesses by the US Small Business Administration (SBA). This Note addresses the critical steps for both lenders and borrowers when an SBA loan is in default. It details a lender's recourse, including its strict obligations for collection, liquidation of assets, and enforcement against a personal guaranty before it can request the SBA to honor its guaranty. For borrowers and guarantors facing a loan deficiency, this Note explains strategic options, including loan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13</w:t>
      </w:r>
      <w:r w:rsidRPr="00755B14">
        <w:rPr>
          <w:b/>
          <w:bCs/>
        </w:rPr>
        <w:t>.</w:t>
      </w:r>
      <w:r w:rsidRPr="00E5063B">
        <w:t xml:space="preserve"> </w:t>
      </w:r>
      <w:r>
        <w:t xml:space="preserve"> </w:t>
      </w:r>
      <w:hyperlink r:id="rId18" w:history="1">
        <w:r>
          <w:rPr>
            <w:rStyle w:val="Hyperlink"/>
            <w:b/>
            <w:i w:val="0"/>
            <w:strike w:val="0"/>
            <w:color w:val="467886"/>
            <w:u w:val="single"/>
          </w:rPr>
          <w:t>Small Business Administration (SBA) Loans: Overview</w:t>
        </w:r>
      </w:hyperlink>
    </w:p>
    <w:p w:rsidR="000911FB" w:rsidRPr="00C67A9D" w:rsidP="000911FB" w14:textId="77777777">
      <w:pPr>
        <w:pStyle w:val="Report-Metadata"/>
        <w:rPr>
          <w:b w:val="0"/>
          <w:bCs w:val="0"/>
        </w:rPr>
      </w:pPr>
      <w:r>
        <w:rPr>
          <w:b/>
          <w:i w:val="0"/>
          <w:strike w:val="0"/>
        </w:rPr>
        <w:t>Practice Note</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Practice Note that provides an overview of the various loan programs offered by the US Small Business Administration (SBA) to help small businesses secure financing. This Practice Note explains how the SBA reduces risk for lenders (such as by loan guarantees), and describes key features of some of these loan programs, including those under Section 7(a) of the Small Business Act (7(a) loan program), authorized by Title V of the Small Business Investment Act (SBIA) (504 loan program), under Section 7(m) of the Small Business Act (Microloan program),</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SBA regulations governing collection fees and costs that lenders may charge on defaulted SBA loans, including examination of 13 C.F.R. Part 120 and related provisions</w:t>
      </w:r>
    </w:p>
    <w:p>
      <w:pPr>
        <w:numPr>
          <w:ilvl w:val="1"/>
          <w:numId w:val="34"/>
        </w:numPr>
        <w:rPr>
          <w:b w:val="0"/>
          <w:i w:val="0"/>
          <w:strike w:val="0"/>
        </w:rPr>
      </w:pPr>
      <w:r>
        <w:rPr>
          <w:rFonts w:ascii="Arial" w:eastAsia="Times New Roman" w:hAnsi="Arial" w:cs="Arial"/>
          <w:b w:val="0"/>
          <w:i w:val="0"/>
          <w:strike w:val="0"/>
          <w:color w:val="1D1D1D"/>
        </w:rPr>
        <w:t>Found relevant SBA regulations in 13 C.F.R. § 120.542 regarding liquidation fees and costs, but need to analyze full text for collection fee limits</w:t>
      </w:r>
    </w:p>
    <w:p>
      <w:pPr>
        <w:numPr>
          <w:ilvl w:val="0"/>
          <w:numId w:val="34"/>
        </w:numPr>
        <w:rPr>
          <w:b w:val="0"/>
          <w:i w:val="0"/>
          <w:strike w:val="0"/>
        </w:rPr>
      </w:pPr>
      <w:r>
        <w:rPr>
          <w:rFonts w:ascii="Arial" w:eastAsia="Times New Roman" w:hAnsi="Arial" w:cs="Arial"/>
          <w:b w:val="0"/>
          <w:i w:val="0"/>
          <w:strike w:val="0"/>
          <w:color w:val="1D1D1D"/>
        </w:rPr>
        <w:t>Analyzing federal case law within the Third Circuit regarding reasonableness of SBA lender collection fees and interpretation of applicable SBA regulatory limits</w:t>
      </w:r>
    </w:p>
    <w:p>
      <w:pPr>
        <w:numPr>
          <w:ilvl w:val="1"/>
          <w:numId w:val="34"/>
        </w:numPr>
        <w:rPr>
          <w:b w:val="0"/>
          <w:i w:val="0"/>
          <w:strike w:val="0"/>
        </w:rPr>
      </w:pPr>
      <w:r>
        <w:rPr>
          <w:rFonts w:ascii="Arial" w:eastAsia="Times New Roman" w:hAnsi="Arial" w:cs="Arial"/>
          <w:b w:val="0"/>
          <w:i w:val="0"/>
          <w:strike w:val="0"/>
          <w:color w:val="1D1D1D"/>
        </w:rPr>
        <w:t>Found Third Circuit case law including New Jersey Higher Education cases approving 30% collection fees as reasonable, and SGA Financial case establishing SBA has authority to regulate fees</w:t>
      </w:r>
    </w:p>
    <w:p>
      <w:pPr>
        <w:numPr>
          <w:ilvl w:val="0"/>
          <w:numId w:val="34"/>
        </w:numPr>
        <w:rPr>
          <w:b w:val="0"/>
          <w:i w:val="0"/>
          <w:strike w:val="0"/>
        </w:rPr>
      </w:pPr>
      <w:r>
        <w:rPr>
          <w:rFonts w:ascii="Arial" w:eastAsia="Times New Roman" w:hAnsi="Arial" w:cs="Arial"/>
          <w:b w:val="0"/>
          <w:i w:val="0"/>
          <w:strike w:val="0"/>
          <w:color w:val="1D1D1D"/>
        </w:rPr>
        <w:t>Examining New Jersey state law provisions governing debt collection fees and costs to determine any additional limitations on SBA lender collection practices</w:t>
      </w:r>
    </w:p>
    <w:p>
      <w:pPr>
        <w:numPr>
          <w:ilvl w:val="1"/>
          <w:numId w:val="34"/>
        </w:numPr>
        <w:rPr>
          <w:b w:val="0"/>
          <w:i w:val="0"/>
          <w:strike w:val="0"/>
        </w:rPr>
      </w:pPr>
      <w:r>
        <w:rPr>
          <w:rFonts w:ascii="Arial" w:eastAsia="Times New Roman" w:hAnsi="Arial" w:cs="Arial"/>
          <w:b w:val="0"/>
          <w:i w:val="0"/>
          <w:strike w:val="0"/>
          <w:color w:val="1D1D1D"/>
        </w:rPr>
        <w:t>New Jersey case law (N.J. Higher Education cases) establishes 30% collection fees as reasonable under state law, providing supportive precedent for similar collection fee percentages</w:t>
      </w:r>
    </w:p>
    <w:p>
      <w:pPr>
        <w:numPr>
          <w:ilvl w:val="0"/>
          <w:numId w:val="34"/>
        </w:numPr>
        <w:rPr>
          <w:b w:val="0"/>
          <w:i w:val="0"/>
          <w:strike w:val="0"/>
        </w:rPr>
      </w:pPr>
      <w:r>
        <w:rPr>
          <w:rFonts w:ascii="Arial" w:eastAsia="Times New Roman" w:hAnsi="Arial" w:cs="Arial"/>
          <w:b w:val="0"/>
          <w:i w:val="0"/>
          <w:strike w:val="0"/>
          <w:color w:val="1D1D1D"/>
        </w:rPr>
        <w:t>Reviewing SBA Standard Operating Procedures (SOPs) and policy guidance addressing collection fee limitations and reasonableness standards for defaulted loans</w:t>
      </w:r>
    </w:p>
    <w:p>
      <w:pPr>
        <w:numPr>
          <w:ilvl w:val="1"/>
          <w:numId w:val="34"/>
        </w:numPr>
        <w:rPr>
          <w:b w:val="0"/>
          <w:i w:val="0"/>
          <w:strike w:val="0"/>
        </w:rPr>
      </w:pPr>
      <w:r>
        <w:rPr>
          <w:rFonts w:ascii="Arial" w:eastAsia="Times New Roman" w:hAnsi="Arial" w:cs="Arial"/>
          <w:b w:val="0"/>
          <w:i w:val="0"/>
          <w:strike w:val="0"/>
          <w:color w:val="1D1D1D"/>
        </w:rPr>
        <w:t>SBA regulations require "reasonable, customary and necessary" fees but do not set specific percentage limits for general collection fees. Only CDC liquidators have percentage limits (10% and 5%)</w:t>
      </w:r>
    </w:p>
    <w:p>
      <w:pPr>
        <w:numPr>
          <w:ilvl w:val="0"/>
          <w:numId w:val="34"/>
        </w:numPr>
        <w:rPr>
          <w:b w:val="0"/>
          <w:i w:val="0"/>
          <w:strike w:val="0"/>
        </w:rPr>
      </w:pPr>
      <w:r>
        <w:rPr>
          <w:rFonts w:ascii="Arial" w:eastAsia="Times New Roman" w:hAnsi="Arial" w:cs="Arial"/>
          <w:b w:val="0"/>
          <w:i w:val="0"/>
          <w:strike w:val="0"/>
          <w:color w:val="1D1D1D"/>
        </w:rPr>
        <w:t>Analyzing federal and Third Circuit precedent addressing the specific question of whether 30 percent collection fees on principal loan amounts comply with SBA regulatory requirements</w:t>
      </w:r>
    </w:p>
    <w:p>
      <w:pPr>
        <w:numPr>
          <w:ilvl w:val="1"/>
          <w:numId w:val="34"/>
        </w:numPr>
        <w:rPr>
          <w:b w:val="0"/>
          <w:i w:val="0"/>
          <w:strike w:val="0"/>
        </w:rPr>
      </w:pPr>
      <w:r>
        <w:rPr>
          <w:rFonts w:ascii="Arial" w:eastAsia="Times New Roman" w:hAnsi="Arial" w:cs="Arial"/>
          <w:b w:val="0"/>
          <w:i w:val="0"/>
          <w:strike w:val="0"/>
          <w:color w:val="1D1D1D"/>
        </w:rPr>
        <w:t>No federal regulations establish specific percentage limits for general SBA lender collection fees. SBA regulations require fees be "reasonable, customary and necessary." Third Circuit precedent supports 30% collection fees as reasonable. SBA has authority to regulate but has not set percentage caps except for CDC liquidators (10%/5%)</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1"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specific type of SBA loan program is involved (7(a) loan, 504 loan, microloan, etc.)?</w:t>
      </w:r>
    </w:p>
    <w:p>
      <w:pPr>
        <w:numPr>
          <w:ilvl w:val="0"/>
          <w:numId w:val="33"/>
        </w:numPr>
        <w:rPr>
          <w:b w:val="0"/>
          <w:i w:val="0"/>
          <w:strike w:val="0"/>
        </w:rPr>
      </w:pPr>
      <w:r>
        <w:rPr>
          <w:rFonts w:ascii="Arial" w:hAnsi="Arial" w:cs="Arial"/>
          <w:b/>
          <w:i w:val="0"/>
          <w:strike w:val="0"/>
          <w:color w:val="1D1D1D"/>
        </w:rPr>
        <w:t>Are the collection fees being charged by the original SBA lender or by a third-party collection agency retained by the lender?</w:t>
      </w:r>
    </w:p>
    <w:p>
      <w:pPr>
        <w:numPr>
          <w:ilvl w:val="0"/>
          <w:numId w:val="33"/>
        </w:numPr>
        <w:rPr>
          <w:b w:val="0"/>
          <w:i w:val="0"/>
          <w:strike w:val="0"/>
        </w:rPr>
      </w:pPr>
      <w:r>
        <w:rPr>
          <w:rFonts w:ascii="Arial" w:hAnsi="Arial" w:cs="Arial"/>
          <w:b/>
          <w:i w:val="0"/>
          <w:strike w:val="0"/>
          <w:color w:val="1D1D1D"/>
        </w:rPr>
        <w:t>Are the collection fees calculated as 30% of the original principal amount or 30% of the current outstanding balance including accrued interest?</w:t>
      </w:r>
    </w:p>
    <w:p>
      <w:pPr>
        <w:numPr>
          <w:ilvl w:val="0"/>
          <w:numId w:val="33"/>
        </w:numPr>
        <w:rPr>
          <w:b w:val="0"/>
          <w:i w:val="0"/>
          <w:strike w:val="0"/>
        </w:rPr>
      </w:pPr>
      <w:r>
        <w:rPr>
          <w:rFonts w:ascii="Arial" w:hAnsi="Arial" w:cs="Arial"/>
          <w:b/>
          <w:i w:val="0"/>
          <w:strike w:val="0"/>
          <w:color w:val="1D1D1D"/>
        </w:rPr>
        <w:t>In what geographic region or state is the collection activity taking place?</w:t>
      </w:r>
    </w:p>
    <w:p>
      <w:pPr>
        <w:numPr>
          <w:ilvl w:val="0"/>
          <w:numId w:val="33"/>
        </w:numPr>
        <w:rPr>
          <w:b w:val="0"/>
          <w:i w:val="0"/>
          <w:strike w:val="0"/>
        </w:rPr>
      </w:pPr>
      <w:r>
        <w:rPr>
          <w:rFonts w:ascii="Arial" w:hAnsi="Arial" w:cs="Arial"/>
          <w:b/>
          <w:i w:val="0"/>
          <w:strike w:val="0"/>
          <w:color w:val="1D1D1D"/>
        </w:rPr>
        <w:t>Has the SBA or the lender provided any written justification or documentation supporting the reasonableness of the 30% collection fee rate?</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19"/>
      <w:footerReference w:type="even" r:id="rId20"/>
      <w:footerReference w:type="default" r:id="rId21"/>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13</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9, 2026</w:t>
    </w:r>
    <w:r w:rsidRPr="00CA3A86" w:rsidR="00266D65">
      <w:rPr>
        <w:rFonts w:ascii="Arial" w:hAnsi="Arial" w:cs="Arial"/>
        <w:sz w:val="18"/>
        <w:szCs w:val="18"/>
      </w:rPr>
      <w:t xml:space="preserve"> at </w:t>
    </w:r>
    <w:r>
      <w:rPr>
        <w:rFonts w:ascii="Arial" w:hAnsi="Arial" w:cs="Arial"/>
        <w:b w:val="0"/>
        <w:i w:val="0"/>
        <w:strike w:val="0"/>
        <w:sz w:val="18"/>
      </w:rPr>
      <w:t>8:04 p.m.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0434"/>
    <w:rsid w:val="00011EB0"/>
    <w:rsid w:val="00020FD1"/>
    <w:rsid w:val="00027A36"/>
    <w:rsid w:val="0003200D"/>
    <w:rsid w:val="00032904"/>
    <w:rsid w:val="000513CE"/>
    <w:rsid w:val="00054AE9"/>
    <w:rsid w:val="00075FC5"/>
    <w:rsid w:val="000815E7"/>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77C2A"/>
    <w:rsid w:val="001947AC"/>
    <w:rsid w:val="00194FAC"/>
    <w:rsid w:val="0019606A"/>
    <w:rsid w:val="001B15B9"/>
    <w:rsid w:val="001B47B6"/>
    <w:rsid w:val="001B4E7F"/>
    <w:rsid w:val="001B6E29"/>
    <w:rsid w:val="001C2E92"/>
    <w:rsid w:val="001C78E3"/>
    <w:rsid w:val="001D4275"/>
    <w:rsid w:val="001E1C60"/>
    <w:rsid w:val="001E54C9"/>
    <w:rsid w:val="001F4EF1"/>
    <w:rsid w:val="001F75F3"/>
    <w:rsid w:val="00201287"/>
    <w:rsid w:val="0021105E"/>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2F1427"/>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3FCB"/>
    <w:rsid w:val="004C4F25"/>
    <w:rsid w:val="004C766E"/>
    <w:rsid w:val="004D7C28"/>
    <w:rsid w:val="004F1C3B"/>
    <w:rsid w:val="00505C4B"/>
    <w:rsid w:val="00510591"/>
    <w:rsid w:val="00516B3F"/>
    <w:rsid w:val="00520D11"/>
    <w:rsid w:val="005218D7"/>
    <w:rsid w:val="00522045"/>
    <w:rsid w:val="00522D43"/>
    <w:rsid w:val="005305F0"/>
    <w:rsid w:val="0053299B"/>
    <w:rsid w:val="00550EC5"/>
    <w:rsid w:val="0056376F"/>
    <w:rsid w:val="00566A4A"/>
    <w:rsid w:val="00566AEF"/>
    <w:rsid w:val="005A2527"/>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092C"/>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2345"/>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6631"/>
    <w:rsid w:val="0081707F"/>
    <w:rsid w:val="008221C5"/>
    <w:rsid w:val="00833D34"/>
    <w:rsid w:val="00833D9C"/>
    <w:rsid w:val="00853C21"/>
    <w:rsid w:val="0086311F"/>
    <w:rsid w:val="00873ADA"/>
    <w:rsid w:val="008775B8"/>
    <w:rsid w:val="00877D32"/>
    <w:rsid w:val="008809CB"/>
    <w:rsid w:val="00884130"/>
    <w:rsid w:val="00893714"/>
    <w:rsid w:val="00897859"/>
    <w:rsid w:val="008B293F"/>
    <w:rsid w:val="008C1635"/>
    <w:rsid w:val="008C3F22"/>
    <w:rsid w:val="008C41E4"/>
    <w:rsid w:val="008C6DA9"/>
    <w:rsid w:val="008C6E74"/>
    <w:rsid w:val="008D3D75"/>
    <w:rsid w:val="008D748A"/>
    <w:rsid w:val="008E22EC"/>
    <w:rsid w:val="008F6E98"/>
    <w:rsid w:val="00904C94"/>
    <w:rsid w:val="0091518F"/>
    <w:rsid w:val="00917C10"/>
    <w:rsid w:val="00922C5F"/>
    <w:rsid w:val="00926860"/>
    <w:rsid w:val="009337AC"/>
    <w:rsid w:val="0093562A"/>
    <w:rsid w:val="0094051C"/>
    <w:rsid w:val="00945A08"/>
    <w:rsid w:val="009569F1"/>
    <w:rsid w:val="00956E15"/>
    <w:rsid w:val="00957A33"/>
    <w:rsid w:val="00971AF2"/>
    <w:rsid w:val="00974121"/>
    <w:rsid w:val="009842AD"/>
    <w:rsid w:val="0098739B"/>
    <w:rsid w:val="0099335B"/>
    <w:rsid w:val="009972E9"/>
    <w:rsid w:val="009A128A"/>
    <w:rsid w:val="009A323E"/>
    <w:rsid w:val="009A6103"/>
    <w:rsid w:val="009B42E6"/>
    <w:rsid w:val="009B789C"/>
    <w:rsid w:val="009D7141"/>
    <w:rsid w:val="009F44D9"/>
    <w:rsid w:val="00A024E9"/>
    <w:rsid w:val="00A14DA2"/>
    <w:rsid w:val="00A20A87"/>
    <w:rsid w:val="00A25B5B"/>
    <w:rsid w:val="00A25E2F"/>
    <w:rsid w:val="00A31E55"/>
    <w:rsid w:val="00A3231B"/>
    <w:rsid w:val="00A33C94"/>
    <w:rsid w:val="00A37A26"/>
    <w:rsid w:val="00A46556"/>
    <w:rsid w:val="00A5211C"/>
    <w:rsid w:val="00A61076"/>
    <w:rsid w:val="00A610D3"/>
    <w:rsid w:val="00A703EB"/>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96ABC"/>
    <w:rsid w:val="00CA2401"/>
    <w:rsid w:val="00CA2EC3"/>
    <w:rsid w:val="00CA3A86"/>
    <w:rsid w:val="00CA43C5"/>
    <w:rsid w:val="00CB4C02"/>
    <w:rsid w:val="00CB5520"/>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11F"/>
    <w:rsid w:val="00EB0702"/>
    <w:rsid w:val="00EB28B9"/>
    <w:rsid w:val="00EC008D"/>
    <w:rsid w:val="00EC1049"/>
    <w:rsid w:val="00EC22E0"/>
    <w:rsid w:val="00EC3CEA"/>
    <w:rsid w:val="00EC6328"/>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 w:val="00FF70C5"/>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NBA957440F87D11ECA43BBA91B1A57ED4/View/FullText.html?transitionType=AIGuidedResearch&amp;contextData=%28sc.Default%29&amp;list=All&amp;listSource=WebsiteInternal&amp;conversationId=0b05095a-8abe-48ac-9b7f-3cab8d16fbf6" TargetMode="External" /><Relationship Id="rId11" Type="http://schemas.openxmlformats.org/officeDocument/2006/relationships/hyperlink" Target="https://1.next.westlaw.com/Document/I8b8a5368556011d997e0acd5cbb90d3f/View/FullText.html?transitionType=AIGuidedResearch&amp;contextData=%28sc.Default%29&amp;list=All&amp;listSource=WebsiteInternal&amp;conversationId=0b05095a-8abe-48ac-9b7f-3cab8d16fbf6" TargetMode="External" /><Relationship Id="rId12" Type="http://schemas.openxmlformats.org/officeDocument/2006/relationships/hyperlink" Target="https://1.next.westlaw.com/Document/I730b8612dd8411ed8921fbef1a541940/View/FullText.html?transitionType=AIGuidedResearch&amp;contextData=%28sc.Default%29&amp;list=All&amp;listSource=WebsiteInternal&amp;conversationId=0b05095a-8abe-48ac-9b7f-3cab8d16fbf6" TargetMode="External" /><Relationship Id="rId13" Type="http://schemas.openxmlformats.org/officeDocument/2006/relationships/hyperlink" Target="https://1.next.westlaw.com/Document/Ibb2aab51101e11dabbcecc65de2571bf/View/FullText.html?transitionType=AIGuidedResearch&amp;contextData=%28sc.Default%29&amp;list=All&amp;listSource=WebsiteInternal&amp;conversationId=0b05095a-8abe-48ac-9b7f-3cab8d16fbf6" TargetMode="External" /><Relationship Id="rId14" Type="http://schemas.openxmlformats.org/officeDocument/2006/relationships/hyperlink" Target="https://1.next.westlaw.com/Document/I9bad50b2e13311ea8467f0cd08e4c41b/View/FullText.html?transitionType=AIGuidedResearch&amp;contextData=%28sc.Default%29&amp;list=All&amp;listSource=WebsiteInternal&amp;conversationId=0b05095a-8abe-48ac-9b7f-3cab8d16fbf6" TargetMode="External" /><Relationship Id="rId15" Type="http://schemas.openxmlformats.org/officeDocument/2006/relationships/hyperlink" Target="https://1.next.westlaw.com/Document/If496cfb42ff511eca4f8ec3ea2e2281f/View/FullText.html?transitionType=AIGuidedResearch&amp;contextData=%28sc.Default%29&amp;list=All&amp;listSource=WebsiteInternal&amp;conversationId=0b05095a-8abe-48ac-9b7f-3cab8d16fbf6" TargetMode="External" /><Relationship Id="rId16" Type="http://schemas.openxmlformats.org/officeDocument/2006/relationships/hyperlink" Target="https://1.next.westlaw.com/Document/Iadda2642958c11f0b24092ee327aff1e/View/FullText.html?transitionType=AIGuidedResearch&amp;contextData=%28sc.Default%29&amp;list=All&amp;listSource=WebsiteInternal&amp;conversationId=0b05095a-8abe-48ac-9b7f-3cab8d16fbf6" TargetMode="External" /><Relationship Id="rId17" Type="http://schemas.openxmlformats.org/officeDocument/2006/relationships/hyperlink" Target="https://1.next.westlaw.com/Document/I460adc33a4c111e9adfea82903531a62/View/FullText.html?transitionType=AIGuidedResearch&amp;contextData=%28sc.Default%29&amp;list=All&amp;listSource=WebsiteInternal&amp;conversationId=0b05095a-8abe-48ac-9b7f-3cab8d16fbf6" TargetMode="External" /><Relationship Id="rId18" Type="http://schemas.openxmlformats.org/officeDocument/2006/relationships/hyperlink" Target="https://1.next.westlaw.com/Document/I89e6c102898411ea80afece799150095/View/FullText.html?transitionType=AIGuidedResearch&amp;contextData=%28sc.Default%29&amp;list=All&amp;listSource=WebsiteInternal&amp;conversationId=0b05095a-8abe-48ac-9b7f-3cab8d16fbf6" TargetMode="External" /><Relationship Id="rId19" Type="http://schemas.openxmlformats.org/officeDocument/2006/relationships/header" Target="header1.xml" /><Relationship Id="rId2" Type="http://schemas.openxmlformats.org/officeDocument/2006/relationships/webSettings" Target="webSettings.xml" /><Relationship Id="rId20" Type="http://schemas.openxmlformats.org/officeDocument/2006/relationships/footer" Target="footer1.xml" /><Relationship Id="rId21" Type="http://schemas.openxmlformats.org/officeDocument/2006/relationships/footer" Target="footer2.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Document/N1B8615B1F87F11ECB89CE07AAD486D7F/View/FullText.html?transitionType=AIGuidedResearch&amp;contextData=%28sc.Default%29&amp;list=All&amp;listSource=WebsiteInternal&amp;conversationId=0b05095a-8abe-48ac-9b7f-3cab8d16fbf6" TargetMode="External" /><Relationship Id="rId5" Type="http://schemas.openxmlformats.org/officeDocument/2006/relationships/hyperlink" Target="https://1.next.westlaw.com/Link/RelatedInformation/Flag?docGuid=I0a5f4f9a352911d98b61a35269fc5f88&amp;ppcid=i0a8993a60000019c44044635cae95f93&amp;transitionType=AIGuidedResearch&amp;contextData=%28sc.Default%29&amp;conversationId=0b05095a-8abe-48ac-9b7f-3cab8d16fbf6" TargetMode="External" /><Relationship Id="rId6" Type="http://schemas.openxmlformats.org/officeDocument/2006/relationships/image" Target="https://i1.next.westlaw.com/permalink/indigo/flag_yellow_small.png" TargetMode="External" /><Relationship Id="rId7" Type="http://schemas.openxmlformats.org/officeDocument/2006/relationships/hyperlink" Target="https://1.next.westlaw.com/Document/I0a5f4f9a352911d98b61a35269fc5f88/View/FullText.html?transitionType=AIGuidedResearch&amp;contextData=%28sc.Default%29&amp;list=All&amp;listSource=WebsiteInternal&amp;conversationId=0b05095a-8abe-48ac-9b7f-3cab8d16fbf6" TargetMode="External" /><Relationship Id="rId8" Type="http://schemas.openxmlformats.org/officeDocument/2006/relationships/hyperlink" Target="https://1.next.westlaw.com/Document/I7668ec10e44211e5b4bafa136b480ad2/View/FullText.html?transitionType=AIGuidedResearch&amp;contextData=%28sc.Default%29&amp;list=All&amp;listSource=WebsiteInternal&amp;conversationId=0b05095a-8abe-48ac-9b7f-3cab8d16fbf6" TargetMode="External" /><Relationship Id="rId9" Type="http://schemas.openxmlformats.org/officeDocument/2006/relationships/hyperlink" Target="https://1.next.westlaw.com/Document/NB37511D0E92411DBB234EB2E0FBE04D9/View/FullText.html?transitionType=AIGuidedResearch&amp;contextData=%28sc.Default%29&amp;list=All&amp;listSource=WebsiteInternal&amp;conversationId=0b05095a-8abe-48ac-9b7f-3cab8d16fbf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767</TotalTime>
  <Pages>13</Pages>
  <Words>45</Words>
  <Characters>941</Characters>
  <Application>Microsoft Office Word</Application>
  <DocSecurity>0</DocSecurity>
  <Lines>85</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Hongslo, Michael (TR Technology)</cp:lastModifiedBy>
  <cp:revision>267</cp:revision>
  <dcterms:created xsi:type="dcterms:W3CDTF">2025-07-30T20:26:00Z</dcterms:created>
  <dcterms:modified xsi:type="dcterms:W3CDTF">2026-02-02T20:41:00Z</dcterms:modified>
</cp:coreProperties>
</file>