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What are the notice requirements under SBA regulations when a borrower's payment deferment period ends and the lender wants to declare a default? Must the lender provide actual notice beyond generic emails directing the borrower to check an online account portal?</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NJ, 3rd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regulations do not contain specific notice requirements for declaring borrowers in default when payment deferment periods end. However, federal regulations require lenders to service SBA loans using "commercially reasonable" standards and "prudent lending standards" consistent with practices for non-SBA commercial loans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xml:space="preserve"> </w:t>
      </w:r>
      <w:hyperlink r:id="rId5" w:history="1">
        <w:r>
          <w:rPr>
            <w:rStyle w:val="Hyperlink"/>
            <w:rFonts w:ascii="Arial" w:eastAsia="Times New Roman" w:hAnsi="Arial" w:cs="Arial"/>
            <w:b w:val="0"/>
            <w:i w:val="0"/>
            <w:strike w:val="0"/>
            <w:color w:val="467886"/>
            <w:u w:val="none"/>
          </w:rPr>
          <w:t>13 CFR § 120.398</w:t>
        </w:r>
      </w:hyperlink>
      <w:r>
        <w:rPr>
          <w:rFonts w:ascii="Arial" w:eastAsia="Times New Roman" w:hAnsi="Arial" w:cs="Arial"/>
          <w:b w:val="0"/>
          <w:i w:val="0"/>
          <w:strike w:val="0"/>
          <w:color w:val="1D1D1D"/>
          <w:u w:val="none"/>
        </w:rPr>
        <w:t xml:space="preserve">. New Jersey case law suggests that generic emails directing borrowers to check online portals may not satisfy adequate notice requirements, as courts have emphasized the need for written notice containing specific lender information and clear communication of default status </w:t>
      </w:r>
      <w:hyperlink r:id="rId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7"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New Jersey Bank v. Palladino, 77 N.J. 33 (1978)</w:t>
        </w:r>
      </w:hyperlink>
      <w:r>
        <w:rPr>
          <w:rFonts w:ascii="Arial" w:eastAsia="Times New Roman" w:hAnsi="Arial" w:cs="Arial"/>
          <w:b w:val="0"/>
          <w:i w:val="0"/>
          <w:strike w:val="0"/>
          <w:color w:val="1D1D1D"/>
          <w:u w:val="none"/>
        </w:rPr>
        <w:t>. Under federal SBA standards requiring commercially reasonable practices, lenders likely must provide actual notice beyond generic portal-checking emails, though the specific method is not federally mandated.</w:t>
        <w:br/>
      </w:r>
    </w:p>
    <w:p>
      <w:pPr>
        <w:pStyle w:val="Heading3"/>
        <w:rPr>
          <w:b w:val="0"/>
          <w:i w:val="0"/>
          <w:strike w:val="0"/>
        </w:rPr>
      </w:pPr>
      <w:r>
        <w:rPr>
          <w:b/>
          <w:u w:val="none"/>
        </w:rPr>
        <w:t>Federal SBA Regulatory Framework</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Small Business Administration governs loan servicing through 13 C.F.R. Part 120, which establishes general standards without specific notice requirements for post-deferment defaults. Under 13 C.F.R. § 120.535(a), "Lenders and CDCs must service 7(a) and 504 loans in their portfolio no less diligently than their non-SBA portfolio, and in a commercially reasonable manner, consistent with prudent lending standards, and in accordance with Loan Program Requirements"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xml:space="preserve">. For lenders without non-SBA portfolios, the regulation requires adherence "to the same prudent lending standards for loan servicing followed by commercial lenders on loans without a government guarantee" </w:t>
      </w:r>
      <w:hyperlink r:id="rId4"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SBA purchase provision in 13 C.F.R. § 120.520 allows lenders to demand SBA honor its guarantee when "the Borrower is in default on any installment for more than 60 calendar days (or less if SBA agrees) and the default has not been cured" </w:t>
      </w:r>
      <w:hyperlink r:id="rId10" w:history="1">
        <w:r>
          <w:rPr>
            <w:rStyle w:val="Hyperlink"/>
            <w:rFonts w:ascii="Arial" w:eastAsia="Times New Roman" w:hAnsi="Arial" w:cs="Arial"/>
            <w:b w:val="0"/>
            <w:i w:val="0"/>
            <w:strike w:val="0"/>
            <w:color w:val="467886"/>
            <w:u w:val="none"/>
          </w:rPr>
          <w:t>13 CFR § 120.520</w:t>
        </w:r>
      </w:hyperlink>
      <w:r>
        <w:rPr>
          <w:rFonts w:ascii="Arial" w:eastAsia="Times New Roman" w:hAnsi="Arial" w:cs="Arial"/>
          <w:b w:val="0"/>
          <w:i w:val="0"/>
          <w:strike w:val="0"/>
          <w:color w:val="1D1D1D"/>
          <w:u w:val="none"/>
        </w:rPr>
        <w:t xml:space="preserve">. Importantly, this regulation provides that "if a Borrower cures a default before a Lender requests purchase by SBA, the Lender's right to request purchase on that default lapses" </w:t>
      </w:r>
      <w:hyperlink r:id="rId10" w:history="1">
        <w:r>
          <w:rPr>
            <w:rStyle w:val="Hyperlink"/>
            <w:rFonts w:ascii="Arial" w:eastAsia="Times New Roman" w:hAnsi="Arial" w:cs="Arial"/>
            <w:b w:val="0"/>
            <w:i w:val="0"/>
            <w:strike w:val="0"/>
            <w:color w:val="467886"/>
            <w:u w:val="none"/>
          </w:rPr>
          <w:t>13 CFR § 120.520</w:t>
        </w:r>
      </w:hyperlink>
      <w:r>
        <w:rPr>
          <w:rFonts w:ascii="Arial" w:eastAsia="Times New Roman" w:hAnsi="Arial" w:cs="Arial"/>
          <w:b w:val="0"/>
          <w:i w:val="0"/>
          <w:strike w:val="0"/>
          <w:color w:val="1D1D1D"/>
          <w:u w:val="none"/>
        </w:rPr>
        <w:t>, suggesting borrowers must have adequate opportunity to understand and cure defaults, which implies proper notice requirements.</w:t>
        <w:br/>
      </w:r>
    </w:p>
    <w:p>
      <w:pPr>
        <w:pStyle w:val="Heading3"/>
        <w:rPr>
          <w:b w:val="0"/>
          <w:i w:val="0"/>
          <w:strike w:val="0"/>
        </w:rPr>
      </w:pPr>
      <w:r>
        <w:rPr>
          <w:b/>
          <w:u w:val="none"/>
        </w:rPr>
        <w:t>Commercial Reasonableness Standards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regulations repeatedly emphasize commercially reasonable servicing standards but delegate specific practices to industry norms. Under 13 C.F.R. § 120.398(o), applicable to ARC loans but illustrative of broader SBA principles, "each originating lender shall service all of its ARC Loans in accordance with the existing practices and procedures that the Lender uses for its non-SBA guaranteed commercial loans" with the requirement that "such practices and procedures must be commercially reasonable and consistent with prudent lending standards" </w:t>
      </w:r>
      <w:hyperlink r:id="rId5" w:history="1">
        <w:r>
          <w:rPr>
            <w:rStyle w:val="Hyperlink"/>
            <w:rFonts w:ascii="Arial" w:eastAsia="Times New Roman" w:hAnsi="Arial" w:cs="Arial"/>
            <w:b w:val="0"/>
            <w:i w:val="0"/>
            <w:strike w:val="0"/>
            <w:color w:val="467886"/>
            <w:u w:val="none"/>
          </w:rPr>
          <w:t>13 CFR § 120.398</w:t>
        </w:r>
      </w:hyperlink>
      <w:r>
        <w:rPr>
          <w:rFonts w:ascii="Arial" w:eastAsia="Times New Roman" w:hAnsi="Arial" w:cs="Arial"/>
          <w:b w:val="0"/>
          <w:i w:val="0"/>
          <w:strike w:val="0"/>
          <w:color w:val="1D1D1D"/>
          <w:u w:val="none"/>
        </w:rPr>
        <w:t>. This regulatory framework suggests that notice adequacy depends on what constitutes commercially reasonable practice in the broader commercial lending industry.</w:t>
        <w:br/>
      </w:r>
    </w:p>
    <w:p>
      <w:pPr>
        <w:pStyle w:val="Heading3"/>
        <w:rPr>
          <w:b w:val="0"/>
          <w:i w:val="0"/>
          <w:strike w:val="0"/>
        </w:rPr>
      </w:pPr>
      <w:r>
        <w:rPr>
          <w:b/>
          <w:u w:val="none"/>
        </w:rPr>
        <w:t>New Jersey State Law Notice Requirements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courts have established strict notice requirements in commercial lending contexts that inform what might constitute "commercially reasonable" practices under federal SBA standards. In </w:t>
      </w:r>
      <w:r>
        <w:rPr>
          <w:rFonts w:ascii="Arial" w:eastAsia="Times New Roman" w:hAnsi="Arial" w:cs="Arial"/>
          <w:b w:val="0"/>
          <w:i/>
          <w:strike w:val="0"/>
          <w:color w:val="1D1D1D"/>
          <w:u w:val="none"/>
        </w:rPr>
        <w:t>US Bank National Association v. Guillaume</w:t>
      </w:r>
      <w:r>
        <w:rPr>
          <w:rFonts w:ascii="Arial" w:eastAsia="Times New Roman" w:hAnsi="Arial" w:cs="Arial"/>
          <w:b w:val="0"/>
          <w:i w:val="0"/>
          <w:strike w:val="0"/>
          <w:color w:val="1D1D1D"/>
          <w:u w:val="none"/>
        </w:rPr>
        <w:t xml:space="preserve">, the New Jersey Supreme Court held that a notice of intention to foreclose that substitutes the loan servicer for the lender "does not achieve substantial compliance" with statutory requirements for including "the name and address of the actual lender" </w:t>
      </w:r>
      <w:hyperlink r:id="rId6" w:history="1">
        <w:r>
          <w:pict>
            <v:shape id="_x0000_i1027" type="#_x0000_t75" alt="KeyCite Yellow Flag" style="width:16pt;height:16pt">
              <v:imagedata r:id="rId7"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xml:space="preserve">. The court emphasized that proper notice must provide borrowers with adequate information about "the status of the loan, and on his or her opportunity to cure the default" </w:t>
      </w:r>
      <w:hyperlink r:id="rId6" w:history="1">
        <w:r>
          <w:pict>
            <v:shape id="_x0000_i1028" type="#_x0000_t75" alt="KeyCite Yellow Flag" style="width:16pt;height:16pt">
              <v:imagedata r:id="rId7"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requirement for written documentation in commercial banking contexts is well-established in New Jersey. In </w:t>
      </w:r>
      <w:r>
        <w:rPr>
          <w:rFonts w:ascii="Arial" w:eastAsia="Times New Roman" w:hAnsi="Arial" w:cs="Arial"/>
          <w:b w:val="0"/>
          <w:i/>
          <w:strike w:val="0"/>
          <w:color w:val="1D1D1D"/>
          <w:u w:val="none"/>
        </w:rPr>
        <w:t>New Jersey Bank v. Palladino</w:t>
      </w:r>
      <w:r>
        <w:rPr>
          <w:rFonts w:ascii="Arial" w:eastAsia="Times New Roman" w:hAnsi="Arial" w:cs="Arial"/>
          <w:b w:val="0"/>
          <w:i w:val="0"/>
          <w:strike w:val="0"/>
          <w:color w:val="1D1D1D"/>
          <w:u w:val="none"/>
        </w:rPr>
        <w:t xml:space="preserve">, the state's highest court recognized that "in light of banking practices and statutory requirement that a notice of default be on paper, requirement that demand be in writing could be implied" </w:t>
      </w:r>
      <w:hyperlink r:id="rId9" w:history="1">
        <w:r>
          <w:rPr>
            <w:rStyle w:val="Hyperlink"/>
            <w:rFonts w:ascii="Arial" w:eastAsia="Times New Roman" w:hAnsi="Arial" w:cs="Arial"/>
            <w:b w:val="0"/>
            <w:i w:val="0"/>
            <w:strike w:val="0"/>
            <w:color w:val="467886"/>
            <w:u w:val="none"/>
          </w:rPr>
          <w:t>New Jersey Bank v. Palladino, 77 N.J. 33 (1978)</w:t>
        </w:r>
      </w:hyperlink>
      <w:r>
        <w:rPr>
          <w:rFonts w:ascii="Arial" w:eastAsia="Times New Roman" w:hAnsi="Arial" w:cs="Arial"/>
          <w:b w:val="0"/>
          <w:i w:val="0"/>
          <w:strike w:val="0"/>
          <w:color w:val="1D1D1D"/>
          <w:u w:val="none"/>
        </w:rPr>
        <w:t xml:space="preserve">. The court noted that "both parties to this commercial transaction, who were sophisticated businessmen and bankers, knew that a default notice must be written" because "it is common knowledge in the banking field that written records are made on all aspects of the banking operation" </w:t>
      </w:r>
      <w:hyperlink r:id="rId9" w:history="1">
        <w:r>
          <w:rPr>
            <w:rStyle w:val="Hyperlink"/>
            <w:rFonts w:ascii="Arial" w:eastAsia="Times New Roman" w:hAnsi="Arial" w:cs="Arial"/>
            <w:b w:val="0"/>
            <w:i w:val="0"/>
            <w:strike w:val="0"/>
            <w:color w:val="467886"/>
            <w:u w:val="none"/>
          </w:rPr>
          <w:t>New Jersey Bank v. Palladino, 77 N.J. 33 (1978)</w:t>
        </w:r>
      </w:hyperlink>
      <w:r>
        <w:rPr>
          <w:rFonts w:ascii="Arial" w:eastAsia="Times New Roman" w:hAnsi="Arial" w:cs="Arial"/>
          <w:b w:val="0"/>
          <w:i w:val="0"/>
          <w:strike w:val="0"/>
          <w:color w:val="1D1D1D"/>
          <w:u w:val="none"/>
        </w:rPr>
        <w:t>.</w:t>
        <w:br/>
      </w:r>
    </w:p>
    <w:p>
      <w:pPr>
        <w:pStyle w:val="Heading3"/>
        <w:rPr>
          <w:b w:val="0"/>
          <w:i w:val="0"/>
          <w:strike w:val="0"/>
        </w:rPr>
      </w:pPr>
      <w:r>
        <w:rPr>
          <w:b/>
          <w:u w:val="none"/>
        </w:rPr>
        <w:t>Third Circuit Jurisprudence on SBA Lending</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While Third Circuit cases addressing SBA loans focus primarily on guarantee enforcement rather than notice requirements, they consistently emphasize lender obligations to follow prudent practices. In </w:t>
      </w:r>
      <w:r>
        <w:rPr>
          <w:rFonts w:ascii="Arial" w:eastAsia="Times New Roman" w:hAnsi="Arial" w:cs="Arial"/>
          <w:b w:val="0"/>
          <w:i/>
          <w:strike w:val="0"/>
          <w:color w:val="1D1D1D"/>
          <w:u w:val="none"/>
        </w:rPr>
        <w:t>Pittsburgh National Bank v. Abdnor</w:t>
      </w:r>
      <w:r>
        <w:rPr>
          <w:rFonts w:ascii="Arial" w:eastAsia="Times New Roman" w:hAnsi="Arial" w:cs="Arial"/>
          <w:b w:val="0"/>
          <w:i w:val="0"/>
          <w:strike w:val="0"/>
          <w:color w:val="1D1D1D"/>
          <w:u w:val="none"/>
        </w:rPr>
        <w:t xml:space="preserve">, the Third Circuit found that a bank's imprudent conduct constituted "material breach of bank's participation agreement with Small Business Administration" where the bank's delay "resulted in financial loss of nearly $140,000 to SBA" </w:t>
      </w:r>
      <w:hyperlink r:id="rId11" w:history="1">
        <w:r>
          <w:pict>
            <v:shape id="_x0000_i1029" type="#_x0000_t75" alt="KeyCite Yellow Flag" style="width:16pt;height:16pt">
              <v:imagedata r:id="rId7"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Pittsburgh Nat. Bank v. Abdnor, 898 F.2d 334 (1990)</w:t>
        </w:r>
      </w:hyperlink>
      <w:r>
        <w:rPr>
          <w:rFonts w:ascii="Arial" w:eastAsia="Times New Roman" w:hAnsi="Arial" w:cs="Arial"/>
          <w:b w:val="0"/>
          <w:i w:val="0"/>
          <w:strike w:val="0"/>
          <w:color w:val="1D1D1D"/>
          <w:u w:val="none"/>
        </w:rPr>
        <w:t>. This demonstrates that courts will scrutinize lender practices for commercial reasonableness and prudent standards.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regulatory emphasis on documentation and prudent practices suggests that generic emails directing borrowers to check online portals would likely fall short of commercially reasonable notice standards. The intersection of federal requirements for commercially reasonable servicing with established New Jersey banking law principles requiring actual written notice with specific information indicates that SBA lenders should provide direct, specific notice of default rather than generic portal-checking instructions.</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SBA regulations and the SBA Loan Guaranty Agreements, lenders are bound by specific procedural and disclosure obligations to maintain the SBA’s guaranty of loans. The SBA requires that lenders strictly comply with the terms of loan authorizations, guaranty agreements, and SBA regulations. Failure to do so—such as by improper handling of disbursements or inadequate notification—may constitute a material breach releasing SBA from liability to purchase guaranteed portions upon borrower default. While formal loan authorization letters and guaranty fee payments typically precede SBA’s guaranty obligation, written approvals by SBA officials may suffice as official guaranty approvals under certain circumstances. SBA regulations enable SBA to revoke lender eligibility or guaranty when lenders fail to meet these requirements or in cases of gross negligence or material misrepresentation by the lender </w:t>
      </w:r>
      <w:hyperlink r:id="rId13" w:history="1">
        <w:r>
          <w:rPr>
            <w:rStyle w:val="Hyperlink"/>
            <w:rFonts w:ascii="Arial" w:eastAsia="Times New Roman" w:hAnsi="Arial" w:cs="Arial"/>
            <w:b w:val="0"/>
            <w:i w:val="0"/>
            <w:strike w:val="0"/>
            <w:color w:val="467886"/>
            <w:u w:val="none"/>
          </w:rPr>
          <w:t>S.B.A. SBA No. 702</w: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S.B.A. SBA No. 525</w:t>
        </w:r>
      </w:hyperlink>
      <w:r>
        <w:rPr>
          <w:rFonts w:ascii="Arial" w:eastAsia="Times New Roman" w:hAnsi="Arial" w:cs="Arial"/>
          <w:b w:val="0"/>
          <w:i w:val="0"/>
          <w:strike w:val="0"/>
          <w:color w:val="1D1D1D"/>
          <w:u w:val="none"/>
        </w:rPr>
        <w:t xml:space="preserve">, </w:t>
      </w:r>
      <w:hyperlink r:id="rId15" w:history="1">
        <w:r>
          <w:rPr>
            <w:rStyle w:val="Hyperlink"/>
            <w:rFonts w:ascii="Arial" w:eastAsia="Times New Roman" w:hAnsi="Arial" w:cs="Arial"/>
            <w:b w:val="0"/>
            <w:i w:val="0"/>
            <w:strike w:val="0"/>
            <w:color w:val="467886"/>
            <w:u w:val="none"/>
          </w:rPr>
          <w:t>Comp.Gen. B- 181432</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However, the SBA’s administrative decisions and policies do not explicitly address the specific notice requirements that lenders must follow when ending a payment deferment period and declaring a default, nor do they mandate that lenders must provide actual individualized notice beyond general communications such as notices referring borrowers to online portals. SBA’s focus is on lender compliance with loan servicing obligations, truthful disclosures, and adherence to terms in the loan documents and regulations, with no clear regulatory directive requiring more than ordinary communication methods in default notification </w:t>
      </w:r>
      <w:hyperlink r:id="rId16" w:history="1">
        <w:r>
          <w:rPr>
            <w:rStyle w:val="Hyperlink"/>
            <w:rFonts w:ascii="Arial" w:eastAsia="Times New Roman" w:hAnsi="Arial" w:cs="Arial"/>
            <w:b w:val="0"/>
            <w:i w:val="0"/>
            <w:strike w:val="0"/>
            <w:color w:val="467886"/>
            <w:u w:val="none"/>
          </w:rPr>
          <w:t>F.D.I.C. 2023 WL 2966341</w: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S.B.A. SBA No. 702</w:t>
        </w:r>
      </w:hyperlink>
      <w:r>
        <w:rPr>
          <w:rFonts w:ascii="Arial" w:eastAsia="Times New Roman" w:hAnsi="Arial" w:cs="Arial"/>
          <w:b w:val="0"/>
          <w:i w:val="0"/>
          <w:strike w:val="0"/>
          <w:color w:val="1D1D1D"/>
          <w:u w:val="none"/>
        </w:rPr>
        <w:t xml:space="preserve">, </w:t>
      </w:r>
      <w:hyperlink r:id="rId15" w:history="1">
        <w:r>
          <w:rPr>
            <w:rStyle w:val="Hyperlink"/>
            <w:rFonts w:ascii="Arial" w:eastAsia="Times New Roman" w:hAnsi="Arial" w:cs="Arial"/>
            <w:b w:val="0"/>
            <w:i w:val="0"/>
            <w:strike w:val="0"/>
            <w:color w:val="467886"/>
            <w:u w:val="none"/>
          </w:rPr>
          <w:t>Comp.Gen. B- 181432</w:t>
        </w:r>
      </w:hyperlink>
      <w:r>
        <w:rPr>
          <w:rFonts w:ascii="Arial" w:eastAsia="Times New Roman" w:hAnsi="Arial" w:cs="Arial"/>
          <w:b w:val="0"/>
          <w:i w:val="0"/>
          <w:strike w:val="0"/>
          <w:color w:val="1D1D1D"/>
          <w:u w:val="none"/>
        </w:rPr>
        <w:t>.</w:t>
        <w:br/>
      </w:r>
    </w:p>
    <w:p w:rsidR="008F6E98" w:rsidRPr="000F6139" w:rsidP="000911FB" w14:paraId="1BDDA594" w14:textId="4A1ED078">
      <w:pPr>
        <w:pStyle w:val="Report-Body"/>
        <w:rPr>
          <w:i/>
          <w:iCs/>
          <w:color w:val="626262"/>
        </w:rPr>
      </w:pPr>
      <w:r>
        <w:rPr>
          <w:b w:val="0"/>
          <w:i/>
          <w:strike w:val="0"/>
          <w:color w:val="626262"/>
        </w:rPr>
        <w:t>Generated by AI. Not legal advice. A qualified professional must verify accuracy and legal compliance.</w:t>
      </w:r>
    </w:p>
    <w:p w:rsidR="008F6E98" w:rsidP="00732345" w14:paraId="7F309E74" w14:textId="7FFD4E0F">
      <w:pPr>
        <w:pStyle w:val="Report-Body"/>
      </w:pPr>
    </w:p>
    <w:p w:rsidR="00A703EB" w:rsidP="00732345" w14:paraId="2236D9F8" w14:textId="77777777">
      <w:pPr>
        <w:pStyle w:val="Report-Body"/>
        <w:rPr>
          <w:sz w:val="36"/>
          <w:szCs w:val="36"/>
        </w:rPr>
      </w:pP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0"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13</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r>
        <w:t xml:space="preserve"> </w:t>
      </w:r>
      <w:hyperlink r:id="rId4" w:history="1">
        <w:r>
          <w:rPr>
            <w:rStyle w:val="Hyperlink"/>
            <w:b/>
            <w:i w:val="0"/>
            <w:strike w:val="0"/>
            <w:color w:val="467886"/>
            <w:u w:val="single"/>
          </w:rPr>
          <w:t>§ 120.535 Standards for Lender and CDC loan servicing, loan liquidation and debt collection litigation.</w:t>
        </w:r>
      </w:hyperlink>
    </w:p>
    <w:p w:rsidR="000911FB" w:rsidRPr="00C67A9D" w:rsidP="000911FB" w14:paraId="778AA143" w14:textId="43CA2655">
      <w:pPr>
        <w:pStyle w:val="Report-Metadata"/>
        <w:rPr>
          <w:b w:val="0"/>
          <w:bCs w:val="0"/>
        </w:rPr>
      </w:pPr>
      <w:r>
        <w:rPr>
          <w:b/>
          <w:i w:val="0"/>
          <w:strike w:val="0"/>
        </w:rPr>
        <w:t>13 C.F.R. § 120.535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standards requiring SBA lenders to service loans in commercially reasonable manner consistent with prudent lending standards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...(a) Service using prudent lending standards. Lenders and CDCs must service 7(a) and 504 loans in their portfolio no less diligently than their non-SBA portfolio, and in a commercially reasonable manner, consistent with prudent lending standards, and in accordance with Loan Program Requirements. Those Lenders and CDCs that do not maintain a non-SBA loan portfolio must adhere to the same prudent lending standards for loan servicing followed by commercial lenders on loans without a government guarantee....</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...Lenders and CDCs must service 7(a) and 504 loans in their portfolio no less diligently than their non–SBA portfolio, and in a commercially reasonable manner, consistent with prudent lending standards, and in accordance with Loan Program Requirements....</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...Those Lenders and CDCs that do not maintain a non–SBA loan portfolio must adhere to the same prudent lending standards for loan servicing followed by commercial lenders on loans without a government guarantee....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r>
        <w:t xml:space="preserve"> </w:t>
      </w:r>
      <w:hyperlink r:id="rId5" w:history="1">
        <w:r>
          <w:rPr>
            <w:rStyle w:val="Hyperlink"/>
            <w:b/>
            <w:i w:val="0"/>
            <w:strike w:val="0"/>
            <w:color w:val="467886"/>
            <w:u w:val="single"/>
          </w:rPr>
          <w:t>§ 120.398 America's Recovery Capital (ARC) Loan Program.</w:t>
        </w:r>
      </w:hyperlink>
    </w:p>
    <w:p w:rsidR="000911FB" w:rsidRPr="00C67A9D" w:rsidP="000911FB" w14:textId="43CA2655">
      <w:pPr>
        <w:pStyle w:val="Report-Metadata"/>
        <w:rPr>
          <w:b w:val="0"/>
          <w:bCs w:val="0"/>
        </w:rPr>
      </w:pPr>
      <w:r>
        <w:rPr>
          <w:b/>
          <w:i w:val="0"/>
          <w:strike w:val="0"/>
        </w:rPr>
        <w:t>13 C.F.R. § 120.398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Requiring ARC loan servicing in accordance with commercially reasonable practices and procedures used for non-SBA commercial loans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...(o) Loan servicing. Each originating lender shall service all of its ARC Loans in accordance with the existing practices and procedures that the Lender uses for its non-SBA guaranteed commercial loans. In all circumstances, such practices and procedures must be commercially reasonable and consistent with prudent lending standards and in accordance with SBA Loan Program Requirements as defined in S 120.10. SBA's prior written consent is required for servicing actions that may have significant exposure implications for SBA. SBA may require written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hyperlink r:id="rId6" w:history="1">
        <w:r>
          <w:pict>
            <v:shape id="_x0000_i1031" type="#_x0000_t75" alt="KeyCite Yellow Flag" style="width:16pt;height:16pt">
              <v:imagedata r:id="rId7" o:title=""/>
            </v:shape>
          </w:pict>
        </w:r>
      </w:hyperlink>
      <w:r>
        <w:t xml:space="preserve"> </w:t>
      </w:r>
      <w:hyperlink r:id="rId8" w:history="1">
        <w:r>
          <w:rPr>
            <w:rStyle w:val="Hyperlink"/>
            <w:b/>
            <w:i w:val="0"/>
            <w:strike w:val="0"/>
            <w:color w:val="467886"/>
            <w:u w:val="single"/>
          </w:rPr>
          <w:t>US Bank Nat. Ass'n v. Guillaume</w:t>
        </w:r>
      </w:hyperlink>
    </w:p>
    <w:p w:rsidR="000911FB" w:rsidRPr="00C67A9D" w:rsidP="000911FB" w14:textId="43CA2655">
      <w:pPr>
        <w:pStyle w:val="Report-Metadata"/>
        <w:rPr>
          <w:b w:val="0"/>
          <w:bCs w:val="0"/>
        </w:rPr>
      </w:pPr>
      <w:r>
        <w:rPr>
          <w:b/>
          <w:i w:val="0"/>
          <w:strike w:val="0"/>
        </w:rPr>
        <w:t>Supreme Court of New Jersey.</w:t>
      </w:r>
      <w:r w:rsidRPr="00C67A9D">
        <w:rPr>
          <w:b w:val="0"/>
          <w:bCs w:val="0"/>
        </w:rPr>
        <w:t xml:space="preserve">   •   </w:t>
      </w:r>
      <w:r>
        <w:rPr>
          <w:b/>
          <w:i w:val="0"/>
          <w:strike w:val="0"/>
        </w:rPr>
        <w:t>February 27, 2012</w:t>
      </w:r>
      <w:r w:rsidRPr="00C67A9D">
        <w:rPr>
          <w:b w:val="0"/>
          <w:bCs w:val="0"/>
        </w:rPr>
        <w:t xml:space="preserve">   •   </w:t>
      </w:r>
      <w:r>
        <w:rPr>
          <w:b/>
          <w:i w:val="0"/>
          <w:strike w:val="0"/>
        </w:rPr>
        <w:t>209 N.J. 449</w:t>
      </w:r>
      <w:r w:rsidRPr="00C67A9D">
        <w:rPr>
          <w:b w:val="0"/>
          <w:bCs w:val="0"/>
        </w:rPr>
        <w:t xml:space="preserve">   •   </w:t>
      </w:r>
      <w:r>
        <w:rPr>
          <w:b/>
          <w:i w:val="0"/>
          <w:strike w:val="0"/>
        </w:rPr>
        <w:t>38 A.3d 570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foreclosure notices must include actual lender information and provide adequate notice of default status and cure opportunities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...Notice of intention to foreclose that substitutes the loan servicer for the lender does not achieve substantial compliance with Fair Foreclosure Act's requirement that a notice of intention include the name and address of the actual lender. N.J.S.A. 2A:50-56(c)(11)....</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9" w:history="1">
        <w:r>
          <w:rPr>
            <w:rStyle w:val="Hyperlink"/>
            <w:b/>
            <w:i w:val="0"/>
            <w:strike w:val="0"/>
            <w:color w:val="467886"/>
            <w:u w:val="single"/>
          </w:rPr>
          <w:t>New Jersey Bank v. Palladino</w:t>
        </w:r>
      </w:hyperlink>
    </w:p>
    <w:p w:rsidR="000911FB" w:rsidRPr="00C67A9D" w:rsidP="000911FB" w14:textId="43CA2655">
      <w:pPr>
        <w:pStyle w:val="Report-Metadata"/>
        <w:rPr>
          <w:b w:val="0"/>
          <w:bCs w:val="0"/>
        </w:rPr>
      </w:pPr>
      <w:r>
        <w:rPr>
          <w:b/>
          <w:i w:val="0"/>
          <w:strike w:val="0"/>
        </w:rPr>
        <w:t>Supreme Court of New Jersey.</w:t>
      </w:r>
      <w:r w:rsidRPr="00C67A9D">
        <w:rPr>
          <w:b w:val="0"/>
          <w:bCs w:val="0"/>
        </w:rPr>
        <w:t xml:space="preserve">   •   </w:t>
      </w:r>
      <w:r>
        <w:rPr>
          <w:b/>
          <w:i w:val="0"/>
          <w:strike w:val="0"/>
        </w:rPr>
        <w:t>July 10, 1978</w:t>
      </w:r>
      <w:r w:rsidRPr="00C67A9D">
        <w:rPr>
          <w:b w:val="0"/>
          <w:bCs w:val="0"/>
        </w:rPr>
        <w:t xml:space="preserve">   •   </w:t>
      </w:r>
      <w:r>
        <w:rPr>
          <w:b/>
          <w:i w:val="0"/>
          <w:strike w:val="0"/>
        </w:rPr>
        <w:t>77 N.J. 33</w:t>
      </w:r>
      <w:r w:rsidRPr="00C67A9D">
        <w:rPr>
          <w:b w:val="0"/>
          <w:bCs w:val="0"/>
        </w:rPr>
        <w:t xml:space="preserve">   •   </w:t>
      </w:r>
      <w:r>
        <w:rPr>
          <w:b/>
          <w:i w:val="0"/>
          <w:strike w:val="0"/>
        </w:rPr>
        <w:t>389 A.2d 454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commercial banking practices require written default notices and that sophisticated commercial parties understand written documentation requirements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...Letter from defendant bank advising plaintiff bank of commitment to assume obligation arising from note signed by individual in amount of $50,000 and which agreed to honor that commitment six months after the date of the note upon notice that the loan had not been paid fulfilled all the requirements of a standby letter of credit, even though the letter did not expressly direct that the notice must be written; in light of banking practices and statutory requirement that a notice of default be on paper, requirement that demand be in writing could</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...Although the letter did not expressly direct that the notice must be written, the statute, N.J.S.A. 12A:5-103, requires a notice of default to be on paper. Undoubtedly, both parties to this commercial transaction, who were sophisticated businessmen and bankers, knew that a default notice must be written. It is common knowledge in the banking field that written records are made on all aspects of the banking operation. See N.J.S.A. 17:9A-247. Terms will be implied in a contract where the parties must have intended them because they are necessary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0" w:history="1">
        <w:r>
          <w:rPr>
            <w:rStyle w:val="Hyperlink"/>
            <w:b/>
            <w:i w:val="0"/>
            <w:strike w:val="0"/>
            <w:color w:val="467886"/>
            <w:u w:val="single"/>
          </w:rPr>
          <w:t>§ 120.520 Purchase of 7(a) loan guarantees.</w:t>
        </w:r>
      </w:hyperlink>
    </w:p>
    <w:p w:rsidR="000911FB" w:rsidRPr="00C67A9D" w:rsidP="000911FB" w14:textId="43CA2655">
      <w:pPr>
        <w:pStyle w:val="Report-Metadata"/>
        <w:rPr>
          <w:b w:val="0"/>
          <w:bCs w:val="0"/>
        </w:rPr>
      </w:pPr>
      <w:r>
        <w:rPr>
          <w:b/>
          <w:i w:val="0"/>
          <w:strike w:val="0"/>
        </w:rPr>
        <w:t>13 C.F.R. § 120.520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Governing SBA purchase of loan guarantees and providing that borrowers may cure defaults before lender requests SBA purchase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...A Lender may demand in writing that SBA honor its guarantee if the Borrower is in default on any installment for more than 60 calendar days (or less if SBA agrees) and the default has not been cured, provided all business personal property securing the defaulted SBA loan has been liquidated....</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...If a Borrower cures a default before a Lender requests purchase by SBA, the Lender's right to request purchase on that default lapses....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hyperlink r:id="rId11" w:history="1">
        <w:r>
          <w:pict>
            <v:shape id="_x0000_i1032" type="#_x0000_t75" alt="KeyCite Yellow Flag" style="width:16pt;height:16pt">
              <v:imagedata r:id="rId7" o:title=""/>
            </v:shape>
          </w:pict>
        </w:r>
      </w:hyperlink>
      <w:r>
        <w:t xml:space="preserve"> </w:t>
      </w:r>
      <w:hyperlink r:id="rId12" w:history="1">
        <w:r>
          <w:rPr>
            <w:rStyle w:val="Hyperlink"/>
            <w:b/>
            <w:i w:val="0"/>
            <w:strike w:val="0"/>
            <w:color w:val="467886"/>
            <w:u w:val="single"/>
          </w:rPr>
          <w:t>Pittsburgh Nat. Bank v. Abdnor</w:t>
        </w:r>
      </w:hyperlink>
    </w:p>
    <w:p w:rsidR="000911FB" w:rsidRPr="00C67A9D" w:rsidP="000911FB" w14:textId="43CA2655">
      <w:pPr>
        <w:pStyle w:val="Report-Metadata"/>
        <w:rPr>
          <w:b w:val="0"/>
          <w:bCs w:val="0"/>
        </w:rPr>
      </w:pPr>
      <w:r>
        <w:rPr>
          <w:b/>
          <w:i w:val="0"/>
          <w:strike w:val="0"/>
        </w:rPr>
        <w:t>United States Court of Appeals, Third Circuit.</w:t>
      </w:r>
      <w:r w:rsidRPr="00C67A9D">
        <w:rPr>
          <w:b w:val="0"/>
          <w:bCs w:val="0"/>
        </w:rPr>
        <w:t xml:space="preserve">   •   </w:t>
      </w:r>
      <w:r>
        <w:rPr>
          <w:b/>
          <w:i w:val="0"/>
          <w:strike w:val="0"/>
        </w:rPr>
        <w:t>February 22, 1990</w:t>
      </w:r>
      <w:r w:rsidRPr="00C67A9D">
        <w:rPr>
          <w:b w:val="0"/>
          <w:bCs w:val="0"/>
        </w:rPr>
        <w:t xml:space="preserve">   •   </w:t>
      </w:r>
      <w:r>
        <w:rPr>
          <w:b/>
          <w:i w:val="0"/>
          <w:strike w:val="0"/>
        </w:rPr>
        <w:t>898 F.2d 334</w:t>
      </w:r>
      <w:r w:rsidRPr="00C67A9D">
        <w:rPr>
          <w:b w:val="0"/>
          <w:bCs w:val="0"/>
        </w:rPr>
        <w:t xml:space="preserve">   •   </w:t>
      </w:r>
      <w:r>
        <w:rPr>
          <w:b/>
          <w:i w:val="0"/>
          <w:strike w:val="0"/>
        </w:rPr>
        <w:t>1990 WL 14872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lender's imprudent conduct constituted material breach of SBA participation agreement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...Bank's imprudent conduct in form of delay in processing check, made payable jointly to bank and small business borrower in Chapter 11 bankruptcy and representing progress payment on contract which borrower had assigned to bank, constituted material breach of bank's participation agreement with Small Business Administration (SBA); delay resulted in financial loss of nearly $140,000 to SBA....</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3" w:history="1">
        <w:r>
          <w:rPr>
            <w:rStyle w:val="Hyperlink"/>
            <w:b/>
            <w:i w:val="0"/>
            <w:strike w:val="0"/>
            <w:color w:val="467886"/>
            <w:u w:val="single"/>
          </w:rPr>
          <w:t>In the Matter of: Greater Providence Deposit Corporation</w:t>
        </w:r>
      </w:hyperlink>
    </w:p>
    <w:p w:rsidR="000911FB" w:rsidRPr="00C67A9D" w:rsidP="000911FB" w14:textId="43CA2655">
      <w:pPr>
        <w:pStyle w:val="Report-Metadata"/>
        <w:rPr>
          <w:b w:val="0"/>
          <w:bCs w:val="0"/>
        </w:rPr>
      </w:pPr>
      <w:r>
        <w:rPr>
          <w:b/>
          <w:i w:val="0"/>
          <w:strike w:val="0"/>
        </w:rPr>
        <w:t>S.B.A.</w:t>
      </w:r>
      <w:r w:rsidRPr="00C67A9D">
        <w:rPr>
          <w:b w:val="0"/>
          <w:bCs w:val="0"/>
        </w:rPr>
        <w:t xml:space="preserve">   •   </w:t>
      </w:r>
      <w:r>
        <w:rPr>
          <w:b/>
          <w:i w:val="0"/>
          <w:strike w:val="0"/>
        </w:rPr>
        <w:t>September 19, 1986</w:t>
      </w:r>
      <w:r w:rsidRPr="00C67A9D">
        <w:rPr>
          <w:b w:val="0"/>
          <w:bCs w:val="0"/>
        </w:rPr>
        <w:t xml:space="preserve">   •   </w:t>
      </w:r>
      <w:r>
        <w:rPr>
          <w:b/>
          <w:i w:val="0"/>
          <w:strike w:val="0"/>
        </w:rPr>
        <w:t>SBA No. 702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...1 The Loan Guaranty Agreement herein and the underlying regulations specify that the agreement does not obligate the agency to participate in any particular loan which may be submitted to it. 13 CFR 120.300. The decision to accept or decline a loan is made by SBA district and regional offices, and is final. 13 CFR 120.103–3. The chief criterion for granting a loan is that there be reasonable assurance of repayment. 13 CFR 120.103–2. However, although approval of loan applications is, ultimately, the responsibility of SBA, a lender, to participate</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...2 Prior to 1981 the philosophy, as defined by the SBA, and implemented by lender banks, recognized that SBA loans are risky. It is axiomatic that a loan requiring the guarantee of the SBA has a greater risk than one not guaranteed by the SBA. Generally, there is some weakness in the credit or the collateral. Typically, banks would be reluctant to take on the risk inherent in such credits. We have played a very important role in providing financing to the local small business community and have made a conscious decision that we are prepared to</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4" w:history="1">
        <w:r>
          <w:rPr>
            <w:rStyle w:val="Hyperlink"/>
            <w:b/>
            <w:i w:val="0"/>
            <w:strike w:val="0"/>
            <w:color w:val="467886"/>
            <w:u w:val="single"/>
          </w:rPr>
          <w:t>Union Bank Petitioner v. Small Business Administration Agency</w:t>
        </w:r>
      </w:hyperlink>
    </w:p>
    <w:p w:rsidR="000911FB" w:rsidRPr="00C67A9D" w:rsidP="000911FB" w14:textId="43CA2655">
      <w:pPr>
        <w:pStyle w:val="Report-Metadata"/>
        <w:rPr>
          <w:b w:val="0"/>
          <w:bCs w:val="0"/>
        </w:rPr>
      </w:pPr>
      <w:r>
        <w:rPr>
          <w:b/>
          <w:i w:val="0"/>
          <w:strike w:val="0"/>
        </w:rPr>
        <w:t>S.B.A.</w:t>
      </w:r>
      <w:r w:rsidRPr="00C67A9D">
        <w:rPr>
          <w:b w:val="0"/>
          <w:bCs w:val="0"/>
        </w:rPr>
        <w:t xml:space="preserve">   •   </w:t>
      </w:r>
      <w:r>
        <w:rPr>
          <w:b/>
          <w:i w:val="0"/>
          <w:strike w:val="0"/>
        </w:rPr>
        <w:t>August 09, 1991</w:t>
      </w:r>
      <w:r w:rsidRPr="00C67A9D">
        <w:rPr>
          <w:b w:val="0"/>
          <w:bCs w:val="0"/>
        </w:rPr>
        <w:t xml:space="preserve">   •   </w:t>
      </w:r>
      <w:r>
        <w:rPr>
          <w:b/>
          <w:i w:val="0"/>
          <w:strike w:val="0"/>
        </w:rPr>
        <w:t>SBA No. 525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...6 Based upon the preceding evidence and argument, the Agency asserts that, by failing to perform the conditions precedent to SBA's obligation to pay under the Loan Guaranty Agreements, Petitioner substantially breached its contract with the Agency, “rendering the SBA's obligation of payment null and void.” In support, it cites 13 CFR 120.202–5, which provides as follows concerning SBA's liability on guaranteed loans:6 SBA shall be released from obligation to purchase its share of the guaranteed loan unless the Lender has substantially complied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5" w:history="1">
        <w:r>
          <w:rPr>
            <w:rStyle w:val="Hyperlink"/>
            <w:b/>
            <w:i w:val="0"/>
            <w:strike w:val="0"/>
            <w:color w:val="467886"/>
            <w:u w:val="single"/>
          </w:rPr>
          <w:t>AUTHORITY OF SBA TO REIMBURSE LENDERS MAKING INTERIM LOANS ON REQUEST OR WITH APPROVAL OF SBA EMPLOYEES:</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September 20, 1974</w:t>
      </w:r>
      <w:r w:rsidRPr="00C67A9D">
        <w:rPr>
          <w:b w:val="0"/>
          <w:bCs w:val="0"/>
        </w:rPr>
        <w:t xml:space="preserve">   •   </w:t>
      </w:r>
      <w:r>
        <w:rPr>
          <w:b/>
          <w:i w:val="0"/>
          <w:strike w:val="0"/>
        </w:rPr>
        <w:t>B- 181432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...6 OUR POSITION IS FURTHER SUPPORTED BY LANGUAGE CONTAINED IN THE LOAN GUARANTY AGREEMENT BETWEEN SBA AND AMERICAN NATIONAL BANK, DATED DECEMBER 15, 1972. PARAGRAPH 2 OF THE LOAN GUARANTY AGREEMENT PROVIDES AS FOLLOWS:7‘SBA SHALL EITHER AUTHORIZE THE GUARANTY OR DECLINE IT, BY WRITTEN NOTICE TO THE LENDER. ANY CHANGE IN THE TERMS OR CONDITIONS STATED IN THE LOAN AUTHORIZATION SHALL BE SUBJECT TO PRIOR WRITTEN APPROVAL BY SBA. AN APPROVED LOAN WILL NOT BE COVERED BY THIS AGREEMENT UNTIL LENDER SHALL HAVE PAID THE GUARANTY FEE FOR SAID LOAN AS</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...7 DESPITE CERTAIN DISCREPANCIES BETWEEN THE CONDITIONS CONTAINED IN THE JULY 25 LOAN AUTHORIZATION AND THOSE STATED IN THE BANK'S LETTER OF APPROVAL TO THE BORROWER, CONCERNING SUCH MATTERS AS THE TERM OF THE LOAN, IT WOULD APPEAR THAT AMERICAN NATIONAL BANK COULD HAVE SATISFIED, HAD IT ENDEAVORED TO DO SO, ALL OF THE RELEVANT CONDITIONS CONTAINED IN THE LOAN AUTHORIZATION AND THE GUARANTY AGREEMENT. IN ADDITION TO THE REQUIREMENT STATED IN THE LOAN AUTHORIZATION THAT THE FIRST DISBURSEMENT OF THE LOAN BE MADE WITHIN 3 MONTHS OF THE DATE OF</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16" w:history="1">
        <w:r>
          <w:rPr>
            <w:rStyle w:val="Hyperlink"/>
            <w:b/>
            <w:i w:val="0"/>
            <w:strike w:val="0"/>
            <w:color w:val="467886"/>
            <w:u w:val="single"/>
          </w:rPr>
          <w:t>IN THE MATTER OF ROBERT S. CATANZARO, DANIELLE M. DESROSIERS, AND JOHN C. PONTE, AS INSTITUTION-AFFILIATED PARTIES OF INDEPENDENCE BANK EAST GREENWICH, RHODE ISLAND (INSURED STATE NONMEMBER BANK) RESPONDENT CATANZARO'S N</w:t>
        </w:r>
      </w:hyperlink>
    </w:p>
    <w:p w:rsidR="000911FB" w:rsidRPr="00C67A9D" w:rsidP="000911FB" w14:textId="43CA2655">
      <w:pPr>
        <w:pStyle w:val="Report-Metadata"/>
        <w:rPr>
          <w:b w:val="0"/>
          <w:bCs w:val="0"/>
        </w:rPr>
      </w:pPr>
      <w:r>
        <w:rPr>
          <w:b/>
          <w:i w:val="0"/>
          <w:strike w:val="0"/>
        </w:rPr>
        <w:t>F.D.I.C.</w:t>
      </w:r>
      <w:r w:rsidRPr="00C67A9D">
        <w:rPr>
          <w:b w:val="0"/>
          <w:bCs w:val="0"/>
        </w:rPr>
        <w:t xml:space="preserve">   •   </w:t>
      </w:r>
      <w:r>
        <w:rPr>
          <w:b/>
          <w:i w:val="0"/>
          <w:strike w:val="0"/>
        </w:rPr>
        <w:t>February 10, 2023</w:t>
      </w:r>
      <w:r w:rsidRPr="00C67A9D">
        <w:rPr>
          <w:b w:val="0"/>
          <w:bCs w:val="0"/>
        </w:rPr>
        <w:t xml:space="preserve">   •   </w:t>
      </w:r>
      <w:r>
        <w:rPr>
          <w:b/>
          <w:i w:val="0"/>
          <w:strike w:val="0"/>
        </w:rPr>
        <w:t>2023 WL 2966341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...889. SBA regulations require that lenders follow all SBA Program Requirements, as interpreted by the SBA's standard operating procedure for the Lender and Development Company Loans Program (SBA SOP), which limits the amount of fees and expenses that can be collected from SBA Loan applicants....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11</w:t>
      </w:r>
      <w:r w:rsidRPr="00755B14">
        <w:rPr>
          <w:b/>
          <w:bCs/>
        </w:rPr>
        <w:t>.</w:t>
      </w:r>
      <w:r w:rsidRPr="00E5063B">
        <w:t xml:space="preserve"> </w:t>
      </w:r>
      <w:r>
        <w:t xml:space="preserve"> </w:t>
      </w:r>
      <w:hyperlink r:id="rId17" w:history="1">
        <w:r>
          <w:rPr>
            <w:rStyle w:val="Hyperlink"/>
            <w:b/>
            <w:i w:val="0"/>
            <w:strike w:val="0"/>
            <w:color w:val="467886"/>
            <w:u w:val="single"/>
          </w:rPr>
          <w:t>Small Business Administration Loan Workouts</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providing guidance on managing workouts for loans offered to small businesses by the US Small Business Administration (SBA). This Note addresses the critical steps for both lenders and borrowers when an SBA loan is in default. It details a lender's recourse, including its strict obligations for collection, liquidation of assets, and enforcement against a personal guaranty before it can request the SBA to honor its guaranty. For borrowers and guarantors facing a loan deficiency, this Note explains strategic options, including loan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18" w:history="1">
        <w:r>
          <w:rPr>
            <w:rStyle w:val="Hyperlink"/>
            <w:b/>
            <w:i w:val="0"/>
            <w:strike w:val="0"/>
            <w:color w:val="467886"/>
            <w:u w:val="single"/>
          </w:rPr>
          <w:t>Borrower Notice of Non-Payment and Request for Relief (Commercial Real Estate Loan)</w:t>
        </w:r>
      </w:hyperlink>
    </w:p>
    <w:p w:rsidR="000911FB" w:rsidRPr="00C67A9D" w:rsidP="000911F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form of letter by a borrower notifying its lender of the borrower's cessation of payments or requesting a temporary suspension of payments under a commercial real property secured loan. This Standard Document has integrated notes with explanations and drafting tips.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13</w:t>
      </w:r>
      <w:r w:rsidRPr="00755B14">
        <w:rPr>
          <w:b/>
          <w:bCs/>
        </w:rPr>
        <w:t>.</w:t>
      </w:r>
      <w:r w:rsidRPr="00E5063B">
        <w:t xml:space="preserve"> </w:t>
      </w:r>
      <w:r>
        <w:t xml:space="preserve"> </w:t>
      </w:r>
      <w:hyperlink r:id="rId19" w:history="1">
        <w:r>
          <w:rPr>
            <w:rStyle w:val="Hyperlink"/>
            <w:b/>
            <w:i w:val="0"/>
            <w:strike w:val="0"/>
            <w:color w:val="467886"/>
            <w:u w:val="single"/>
          </w:rPr>
          <w:t>Loan Agreement: Events of Default</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that provides guidance on the events and conditions that typically constitute events of default in business loan agreements. It examines the purpose of these provisions, outlines the primary rights and remedies available to a lender (such as acceleration of the loan and termination of lending commitments), explains the distinction between a "default" and an "event of default," detailing the role of grace periods and notice requirements, covers common events of default (including non-payment, breaches of representations and warranties,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SBA regulations governing notice requirements for loan default declarations, including specific provisions in 13 C.F.R. Part 120 regarding borrower notification procedures when payment deferment periods expire.</w:t>
      </w:r>
    </w:p>
    <w:p>
      <w:pPr>
        <w:numPr>
          <w:ilvl w:val="1"/>
          <w:numId w:val="34"/>
        </w:numPr>
        <w:rPr>
          <w:b w:val="0"/>
          <w:i w:val="0"/>
          <w:strike w:val="0"/>
        </w:rPr>
      </w:pPr>
      <w:r>
        <w:rPr>
          <w:rFonts w:ascii="Arial" w:eastAsia="Times New Roman" w:hAnsi="Arial" w:cs="Arial"/>
          <w:b w:val="0"/>
          <w:i w:val="0"/>
          <w:strike w:val="0"/>
          <w:color w:val="1D1D1D"/>
        </w:rPr>
        <w:t>Found 13 C.F.R. § 120.520 which allows SBA guarantee purchase when borrower is in default for more than 60 days, but need to analyze specific notice requirements in the regulation</w:t>
      </w:r>
    </w:p>
    <w:p>
      <w:pPr>
        <w:numPr>
          <w:ilvl w:val="0"/>
          <w:numId w:val="34"/>
        </w:numPr>
        <w:rPr>
          <w:b w:val="0"/>
          <w:i w:val="0"/>
          <w:strike w:val="0"/>
        </w:rPr>
      </w:pPr>
      <w:r>
        <w:rPr>
          <w:rFonts w:ascii="Arial" w:eastAsia="Times New Roman" w:hAnsi="Arial" w:cs="Arial"/>
          <w:b w:val="0"/>
          <w:i w:val="0"/>
          <w:strike w:val="0"/>
          <w:color w:val="1D1D1D"/>
        </w:rPr>
        <w:t>Examining federal caselaw from the Third Circuit interpreting SBA notice requirements for loan defaults, particularly addressing adequacy of electronic communications versus actual notice standards.</w:t>
      </w:r>
    </w:p>
    <w:p>
      <w:pPr>
        <w:numPr>
          <w:ilvl w:val="1"/>
          <w:numId w:val="34"/>
        </w:numPr>
        <w:rPr>
          <w:b w:val="0"/>
          <w:i w:val="0"/>
          <w:strike w:val="0"/>
        </w:rPr>
      </w:pPr>
      <w:r>
        <w:rPr>
          <w:rFonts w:ascii="Arial" w:eastAsia="Times New Roman" w:hAnsi="Arial" w:cs="Arial"/>
          <w:b w:val="0"/>
          <w:i w:val="0"/>
          <w:strike w:val="0"/>
          <w:color w:val="1D1D1D"/>
        </w:rPr>
        <w:t>Third Circuit cases focus on SBA guarantee enforcement and prudent lender standards but don't specifically address notice requirements for default after deferment. No cases found directly on point regarding email notice adequacy.</w:t>
      </w:r>
    </w:p>
    <w:p>
      <w:pPr>
        <w:numPr>
          <w:ilvl w:val="0"/>
          <w:numId w:val="34"/>
        </w:numPr>
        <w:rPr>
          <w:b w:val="0"/>
          <w:i w:val="0"/>
          <w:strike w:val="0"/>
        </w:rPr>
      </w:pPr>
      <w:r>
        <w:rPr>
          <w:rFonts w:ascii="Arial" w:eastAsia="Times New Roman" w:hAnsi="Arial" w:cs="Arial"/>
          <w:b w:val="0"/>
          <w:i w:val="0"/>
          <w:strike w:val="0"/>
          <w:color w:val="1D1D1D"/>
        </w:rPr>
        <w:t>Analyzing New Jersey state law requirements for adequate notice in commercial lending contexts, focusing on cases interpreting sufficiency of generic electronic notifications versus direct borrower contact.</w:t>
      </w:r>
    </w:p>
    <w:p>
      <w:pPr>
        <w:numPr>
          <w:ilvl w:val="1"/>
          <w:numId w:val="34"/>
        </w:numPr>
        <w:rPr>
          <w:b w:val="0"/>
          <w:i w:val="0"/>
          <w:strike w:val="0"/>
        </w:rPr>
      </w:pPr>
      <w:r>
        <w:rPr>
          <w:rFonts w:ascii="Arial" w:eastAsia="Times New Roman" w:hAnsi="Arial" w:cs="Arial"/>
          <w:b w:val="0"/>
          <w:i w:val="0"/>
          <w:strike w:val="0"/>
          <w:color w:val="1D1D1D"/>
        </w:rPr>
        <w:t>New Jersey cases emphasize written notice requirements in commercial contexts (US Bank v. Guillaume requires actual notice with lender information). Banking practices generally require written documentation per NJ Bank v. Palladino.</w:t>
      </w:r>
    </w:p>
    <w:p>
      <w:pPr>
        <w:numPr>
          <w:ilvl w:val="0"/>
          <w:numId w:val="34"/>
        </w:numPr>
        <w:rPr>
          <w:b w:val="0"/>
          <w:i w:val="0"/>
          <w:strike w:val="0"/>
        </w:rPr>
      </w:pPr>
      <w:r>
        <w:rPr>
          <w:rFonts w:ascii="Arial" w:eastAsia="Times New Roman" w:hAnsi="Arial" w:cs="Arial"/>
          <w:b w:val="0"/>
          <w:i w:val="0"/>
          <w:strike w:val="0"/>
          <w:color w:val="1D1D1D"/>
        </w:rPr>
        <w:t>Investigating SBA procedural requirements and federal court decisions addressing whether directing borrowers to check online portals constitutes adequate notice under federal lending regulations.</w:t>
      </w:r>
    </w:p>
    <w:p>
      <w:pPr>
        <w:numPr>
          <w:ilvl w:val="1"/>
          <w:numId w:val="34"/>
        </w:numPr>
        <w:rPr>
          <w:b w:val="0"/>
          <w:i w:val="0"/>
          <w:strike w:val="0"/>
        </w:rPr>
      </w:pPr>
      <w:r>
        <w:rPr>
          <w:rFonts w:ascii="Arial" w:eastAsia="Times New Roman" w:hAnsi="Arial" w:cs="Arial"/>
          <w:b w:val="0"/>
          <w:i w:val="0"/>
          <w:strike w:val="0"/>
          <w:color w:val="1D1D1D"/>
        </w:rPr>
        <w:t>SBA regulations require "commercially reasonable" servicing standards (13 C.F.R. § 120.535) and lenders must service loans consistent with "prudent lending standards." Regulations emphasize written documentation requirements but don't specify notice methods for default declarations.</w:t>
      </w:r>
    </w:p>
    <w:p>
      <w:pPr>
        <w:numPr>
          <w:ilvl w:val="0"/>
          <w:numId w:val="34"/>
        </w:numPr>
        <w:rPr>
          <w:b w:val="0"/>
          <w:i w:val="0"/>
          <w:strike w:val="0"/>
        </w:rPr>
      </w:pPr>
      <w:r>
        <w:rPr>
          <w:rFonts w:ascii="Arial" w:eastAsia="Times New Roman" w:hAnsi="Arial" w:cs="Arial"/>
          <w:b w:val="0"/>
          <w:i w:val="0"/>
          <w:strike w:val="0"/>
          <w:color w:val="1D1D1D"/>
        </w:rPr>
        <w:t>Researching Third Circuit and New Jersey federal district court decisions examining the intersection of federal SBA notice requirements and state consumer protection standards for loan default proceedings.</w:t>
      </w:r>
    </w:p>
    <w:p>
      <w:pPr>
        <w:numPr>
          <w:ilvl w:val="1"/>
          <w:numId w:val="34"/>
        </w:numPr>
        <w:rPr>
          <w:b w:val="0"/>
          <w:i w:val="0"/>
          <w:strike w:val="0"/>
        </w:rPr>
      </w:pPr>
      <w:r>
        <w:rPr>
          <w:rFonts w:ascii="Arial" w:eastAsia="Times New Roman" w:hAnsi="Arial" w:cs="Arial"/>
          <w:b w:val="0"/>
          <w:i w:val="0"/>
          <w:strike w:val="0"/>
          <w:color w:val="1D1D1D"/>
        </w:rPr>
        <w:t>Federal SBA regulations do not contain specific notice requirements for default after deferment. However, regulations require "commercially reasonable" servicing and "prudent lending standards." New Jersey case law (US Bank v. Guillaume, NJ Bank v. Palladino) suggests written notice with specific information is required in commercial lending contexts, indicating generic emails directing borrowers to check portals may be insufficient under state law standards that could inform federal "commercially reasonable" requirements.</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3"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language did the lender use in the emails directing you to check the online account portal?</w:t>
      </w:r>
    </w:p>
    <w:p>
      <w:pPr>
        <w:numPr>
          <w:ilvl w:val="0"/>
          <w:numId w:val="33"/>
        </w:numPr>
        <w:rPr>
          <w:b w:val="0"/>
          <w:i w:val="0"/>
          <w:strike w:val="0"/>
        </w:rPr>
      </w:pPr>
      <w:r>
        <w:rPr>
          <w:rFonts w:ascii="Arial" w:hAnsi="Arial" w:cs="Arial"/>
          <w:b/>
          <w:i w:val="0"/>
          <w:strike w:val="0"/>
          <w:color w:val="1D1D1D"/>
        </w:rPr>
        <w:t>Did your loan agreement contain any specific provisions regarding how the lender must provide notice of default after a deferment period ends?</w:t>
      </w:r>
    </w:p>
    <w:p>
      <w:pPr>
        <w:numPr>
          <w:ilvl w:val="0"/>
          <w:numId w:val="33"/>
        </w:numPr>
        <w:rPr>
          <w:b w:val="0"/>
          <w:i w:val="0"/>
          <w:strike w:val="0"/>
        </w:rPr>
      </w:pPr>
      <w:r>
        <w:rPr>
          <w:rFonts w:ascii="Arial" w:hAnsi="Arial" w:cs="Arial"/>
          <w:b/>
          <w:i w:val="0"/>
          <w:strike w:val="0"/>
          <w:color w:val="1D1D1D"/>
        </w:rPr>
        <w:t>How long was your payment deferment period, and what was the specific end date of that deferment?</w:t>
      </w:r>
    </w:p>
    <w:p>
      <w:pPr>
        <w:numPr>
          <w:ilvl w:val="0"/>
          <w:numId w:val="33"/>
        </w:numPr>
        <w:rPr>
          <w:b w:val="0"/>
          <w:i w:val="0"/>
          <w:strike w:val="0"/>
        </w:rPr>
      </w:pPr>
      <w:r>
        <w:rPr>
          <w:rFonts w:ascii="Arial" w:hAnsi="Arial" w:cs="Arial"/>
          <w:b/>
          <w:i w:val="0"/>
          <w:strike w:val="0"/>
          <w:color w:val="1D1D1D"/>
        </w:rPr>
        <w:t>Did you receive any direct written communication from the lender about your payment obligations resuming after the deferment period ended?</w:t>
      </w:r>
    </w:p>
    <w:p>
      <w:pPr>
        <w:numPr>
          <w:ilvl w:val="0"/>
          <w:numId w:val="33"/>
        </w:numPr>
        <w:rPr>
          <w:b w:val="0"/>
          <w:i w:val="0"/>
          <w:strike w:val="0"/>
        </w:rPr>
      </w:pPr>
      <w:r>
        <w:rPr>
          <w:rFonts w:ascii="Arial" w:hAnsi="Arial" w:cs="Arial"/>
          <w:b/>
          <w:i w:val="0"/>
          <w:strike w:val="0"/>
          <w:color w:val="1D1D1D"/>
        </w:rPr>
        <w:t>Do you have documentation showing when you last made a full payment before the deferment period began?</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0"/>
      <w:footerReference w:type="even" r:id="rId21"/>
      <w:footerReference w:type="default" r:id="rId22"/>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12</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9, 2026</w:t>
    </w:r>
    <w:r w:rsidRPr="00CA3A86" w:rsidR="00266D65">
      <w:rPr>
        <w:rFonts w:ascii="Arial" w:hAnsi="Arial" w:cs="Arial"/>
        <w:sz w:val="18"/>
        <w:szCs w:val="18"/>
      </w:rPr>
      <w:t xml:space="preserve"> at </w:t>
    </w:r>
    <w:r>
      <w:rPr>
        <w:rFonts w:ascii="Arial" w:hAnsi="Arial" w:cs="Arial"/>
        <w:b w:val="0"/>
        <w:i w:val="0"/>
        <w:strike w:val="0"/>
        <w:sz w:val="18"/>
      </w:rPr>
      <w:t>7:57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904C94"/>
    <w:rsid w:val="0091518F"/>
    <w:rsid w:val="00917C10"/>
    <w:rsid w:val="00922C5F"/>
    <w:rsid w:val="00926860"/>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NF81F7660E91811DB929BA2D7B6842081/View/FullText.html?transitionType=AIGuidedResearch&amp;contextData=%28sc.Default%29&amp;list=All&amp;listSource=WebsiteInternal&amp;conversationId=47c04991-77e7-429d-9daf-f381e6e32e76" TargetMode="External" /><Relationship Id="rId11" Type="http://schemas.openxmlformats.org/officeDocument/2006/relationships/hyperlink" Target="https://1.next.westlaw.com/Link/RelatedInformation/Flag?docGuid=I380aaddc971d11d9bc61beebb95be672&amp;ppcid=i0a89dfa90000019c4402def1761af52e&amp;transitionType=AIGuidedResearch&amp;contextData=%28sc.Default%29&amp;conversationId=47c04991-77e7-429d-9daf-f381e6e32e76" TargetMode="External" /><Relationship Id="rId12" Type="http://schemas.openxmlformats.org/officeDocument/2006/relationships/hyperlink" Target="https://1.next.westlaw.com/Document/I380aaddc971d11d9bc61beebb95be672/View/FullText.html?transitionType=AIGuidedResearch&amp;contextData=%28sc.Default%29&amp;list=All&amp;listSource=WebsiteInternal&amp;conversationId=47c04991-77e7-429d-9daf-f381e6e32e76" TargetMode="External" /><Relationship Id="rId13" Type="http://schemas.openxmlformats.org/officeDocument/2006/relationships/hyperlink" Target="https://1.next.westlaw.com/Document/Ic41de64bf36211dbb035bac3a32ef289/View/FullText.html?transitionType=AIGuidedResearch&amp;contextData=%28sc.Default%29&amp;list=All&amp;listSource=WebsiteInternal&amp;conversationId=47c04991-77e7-429d-9daf-f381e6e32e76" TargetMode="External" /><Relationship Id="rId14" Type="http://schemas.openxmlformats.org/officeDocument/2006/relationships/hyperlink" Target="https://1.next.westlaw.com/Document/Ic51c35cbf35d11dbb92c924f6a2d2928/View/FullText.html?transitionType=AIGuidedResearch&amp;contextData=%28sc.Default%29&amp;list=All&amp;listSource=WebsiteInternal&amp;conversationId=47c04991-77e7-429d-9daf-f381e6e32e76" TargetMode="External" /><Relationship Id="rId15" Type="http://schemas.openxmlformats.org/officeDocument/2006/relationships/hyperlink" Target="https://1.next.westlaw.com/Document/Iddc69832f95011d99439b076ef9ec4de/View/FullText.html?transitionType=AIGuidedResearch&amp;contextData=%28sc.Default%29&amp;list=All&amp;listSource=WebsiteInternal&amp;conversationId=47c04991-77e7-429d-9daf-f381e6e32e76" TargetMode="External" /><Relationship Id="rId16" Type="http://schemas.openxmlformats.org/officeDocument/2006/relationships/hyperlink" Target="https://1.next.westlaw.com/Document/I730b8612dd8411ed8921fbef1a541940/View/FullText.html?transitionType=AIGuidedResearch&amp;contextData=%28sc.Default%29&amp;list=All&amp;listSource=WebsiteInternal&amp;conversationId=47c04991-77e7-429d-9daf-f381e6e32e76" TargetMode="External" /><Relationship Id="rId17" Type="http://schemas.openxmlformats.org/officeDocument/2006/relationships/hyperlink" Target="https://1.next.westlaw.com/Document/I460adc33a4c111e9adfea82903531a62/View/FullText.html?transitionType=AIGuidedResearch&amp;contextData=%28sc.Default%29&amp;list=All&amp;listSource=WebsiteInternal&amp;conversationId=47c04991-77e7-429d-9daf-f381e6e32e76" TargetMode="External" /><Relationship Id="rId18" Type="http://schemas.openxmlformats.org/officeDocument/2006/relationships/hyperlink" Target="https://1.next.westlaw.com/Document/Iced6fa02774711ea80afece799150095/View/FullText.html?transitionType=AIGuidedResearch&amp;contextData=%28sc.Default%29&amp;list=All&amp;listSource=WebsiteInternal&amp;conversationId=47c04991-77e7-429d-9daf-f381e6e32e76" TargetMode="External" /><Relationship Id="rId19" Type="http://schemas.openxmlformats.org/officeDocument/2006/relationships/hyperlink" Target="https://1.next.westlaw.com/Document/I03f4dadeeee311e28578f7ccc38dcbee/View/FullText.html?transitionType=AIGuidedResearch&amp;contextData=%28sc.Default%29&amp;list=All&amp;listSource=WebsiteInternal&amp;conversationId=47c04991-77e7-429d-9daf-f381e6e32e76" TargetMode="External"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Document/NB37511D0E92411DBB234EB2E0FBE04D9/View/FullText.html?transitionType=AIGuidedResearch&amp;contextData=%28sc.Default%29&amp;list=All&amp;listSource=WebsiteInternal&amp;conversationId=47c04991-77e7-429d-9daf-f381e6e32e76" TargetMode="External" /><Relationship Id="rId5" Type="http://schemas.openxmlformats.org/officeDocument/2006/relationships/hyperlink" Target="https://1.next.westlaw.com/Document/NEB5D741054F311DE9C9AC5F720AFC3A1/View/FullText.html?transitionType=AIGuidedResearch&amp;contextData=%28sc.Default%29&amp;list=All&amp;listSource=WebsiteInternal&amp;conversationId=47c04991-77e7-429d-9daf-f381e6e32e76" TargetMode="External" /><Relationship Id="rId6" Type="http://schemas.openxmlformats.org/officeDocument/2006/relationships/hyperlink" Target="https://1.next.westlaw.com/Link/RelatedInformation/Flag?docGuid=I00757f36612511e18b1ac573b20fcfb7&amp;ppcid=i0a89dfa90000019c4402def1761af52e&amp;transitionType=AIGuidedResearch&amp;contextData=%28sc.Default%29&amp;conversationId=47c04991-77e7-429d-9daf-f381e6e32e76" TargetMode="External" /><Relationship Id="rId7" Type="http://schemas.openxmlformats.org/officeDocument/2006/relationships/image" Target="https://i1.next.westlaw.com/permalink/indigo/flag_yellow_small.png" TargetMode="External" /><Relationship Id="rId8" Type="http://schemas.openxmlformats.org/officeDocument/2006/relationships/hyperlink" Target="https://1.next.westlaw.com/Document/I00757f36612511e18b1ac573b20fcfb7/View/FullText.html?transitionType=AIGuidedResearch&amp;contextData=%28sc.Default%29&amp;list=All&amp;listSource=WebsiteInternal&amp;conversationId=47c04991-77e7-429d-9daf-f381e6e32e76" TargetMode="External" /><Relationship Id="rId9" Type="http://schemas.openxmlformats.org/officeDocument/2006/relationships/hyperlink" Target="https://1.next.westlaw.com/Document/Ic8e77814344911d9abe5ec754599669c/View/FullText.html?transitionType=AIGuidedResearch&amp;contextData=%28sc.Default%29&amp;list=All&amp;listSource=WebsiteInternal&amp;conversationId=47c04991-77e7-429d-9daf-f381e6e32e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12</Pages>
  <Words>45</Words>
  <Characters>941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Hongslo, Michael (TR Technology)</cp:lastModifiedBy>
  <cp:revision>267</cp:revision>
  <dcterms:created xsi:type="dcterms:W3CDTF">2025-07-30T20:26:00Z</dcterms:created>
  <dcterms:modified xsi:type="dcterms:W3CDTF">2026-02-02T20:41:00Z</dcterms:modified>
</cp:coreProperties>
</file>