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8.0 -->
  <w:body>
    <w:p w:rsidR="000911FB" w:rsidP="000911FB" w14:paraId="14F968FB" w14:textId="46DD7B6A">
      <w:pPr>
        <w:pStyle w:val="Report-Heading"/>
        <w:rPr>
          <w:rFonts w:eastAsiaTheme="minorHAnsi"/>
        </w:rPr>
      </w:pPr>
      <w:r>
        <w:rPr>
          <w:b w:val="0"/>
          <w:i w:val="0"/>
          <w:strike w:val="0"/>
        </w:rPr>
        <w:t>Research question</w:t>
      </w:r>
    </w:p>
    <w:p w:rsidR="00FD0317" w:rsidP="000911FB" w14:paraId="51CFC033" w14:textId="77777777">
      <w:pPr>
        <w:pStyle w:val="Report-Body"/>
      </w:pPr>
    </w:p>
    <w:p w:rsidR="000911FB" w:rsidP="000911FB" w14:paraId="28859EEF" w14:textId="0D31FD51">
      <w:pPr>
        <w:pStyle w:val="Report-Body"/>
      </w:pPr>
      <w:r>
        <w:rPr>
          <w:b w:val="0"/>
          <w:i w:val="0"/>
          <w:strike w:val="0"/>
        </w:rPr>
        <w:t>What remedies are available to a borrower when an SBA lender provides defective notice before declaring a loan in default? Can the borrower have the default reversed or collection fees waived?</w:t>
      </w:r>
    </w:p>
    <w:p w:rsidR="000911FB" w:rsidRPr="00E5063B" w:rsidP="000911FB" w14:paraId="292F0F17" w14:textId="77777777">
      <w:pPr>
        <w:pStyle w:val="Report-Body"/>
      </w:pPr>
    </w:p>
    <w:p>
      <w:pPr>
        <w:pStyle w:val="Report-Metadata"/>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sz w:val="18"/>
        </w:rPr>
        <w:t>NJ, 3rd Circuit</w:t>
        <w:br/>
      </w:r>
    </w:p>
    <w:p w:rsidR="000911FB" w:rsidP="000911FB" w14:paraId="57F8CAA9" w14:textId="77777777">
      <w:pPr>
        <w:pStyle w:val="Report-Body"/>
      </w:pPr>
    </w:p>
    <w:p w:rsidR="000911FB" w:rsidP="000911FB" w14:paraId="7E83A4BC" w14:textId="77777777">
      <w:pPr>
        <w:pStyle w:val="Report-Body"/>
      </w:pPr>
      <w:r>
        <w:rPr>
          <w:noProof/>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852100684"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5" style="mso-wrap-distance-bottom:0;mso-wrap-distance-left:9pt;mso-wrap-distance-right:9pt;mso-wrap-distance-top:0;mso-wrap-style:square;position:absolute;visibility:visible;z-index:251661312" from="0,0.95pt" to="465pt,0.95pt" strokecolor="black" strokeweight="1.5pt">
                <v:stroke joinstyle="miter"/>
              </v:line>
            </w:pict>
          </mc:Fallback>
        </mc:AlternateContent>
      </w:r>
    </w:p>
    <w:p>
      <w:pPr>
        <w:pStyle w:val="Heading3"/>
        <w:rPr>
          <w:b w:val="0"/>
          <w:i w:val="0"/>
          <w:strike w:val="0"/>
        </w:rPr>
      </w:pPr>
      <w:r>
        <w:rPr>
          <w:b/>
          <w:u w:val="none"/>
        </w:rPr>
        <w:t>Summary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SBA borrowers facing defective notice before default declaration have limited federal remedies but may find relief under New Jersey state law. Federal SBA regulations do not establish specific notice requirements to borrowers before default declaration, focusing instead on lender-SBA procedures after default occurs. However, New Jersey courts possess broad equitable discretion to fashion remedies for defective loan default notices, including ordering corrected notices, reducing collection fees and costs, or dismissing actions without prejudice. Complete default reversal is unlikely, but fee adjustments and procedural corrections are available remedies under state law.</w:t>
        <w:br/>
      </w:r>
    </w:p>
    <w:p>
      <w:pPr>
        <w:pStyle w:val="Heading3"/>
        <w:rPr>
          <w:b w:val="0"/>
          <w:i w:val="0"/>
          <w:strike w:val="0"/>
        </w:rPr>
      </w:pPr>
      <w:r>
        <w:rPr>
          <w:b/>
          <w:u w:val="none"/>
        </w:rPr>
        <w:t>Federal SBA Regulatory Framework</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Federal SBA regulations provide minimal protection regarding pre-default notice requirements. The primary regulation governing SBA loan defaults, 13 C.F.R. § 120.520, establishes that lenders may demand SBA honor its guarantee when "the Borrower is in default on any installment for more than 60 calendar days (or less if SBA agrees) and the default has not been cured" </w:t>
      </w:r>
      <w:hyperlink r:id="rId4" w:history="1">
        <w:r>
          <w:rPr>
            <w:rStyle w:val="Hyperlink"/>
            <w:rFonts w:ascii="Arial" w:eastAsia="Times New Roman" w:hAnsi="Arial" w:cs="Arial"/>
            <w:b w:val="0"/>
            <w:i w:val="0"/>
            <w:strike w:val="0"/>
            <w:color w:val="467886"/>
            <w:u w:val="none"/>
          </w:rPr>
          <w:t>13 CFR § 120.520</w:t>
        </w:r>
      </w:hyperlink>
      <w:r>
        <w:rPr>
          <w:rFonts w:ascii="Arial" w:eastAsia="Times New Roman" w:hAnsi="Arial" w:cs="Arial"/>
          <w:b w:val="0"/>
          <w:i w:val="0"/>
          <w:strike w:val="0"/>
          <w:color w:val="1D1D1D"/>
          <w:u w:val="none"/>
        </w:rPr>
        <w:t>. Critically, this regulation focuses on the lender-SBA relationship rather than borrower notice rights.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regulation does provide one significant borrower protection: "If a Borrower cures a default before a Lender requests purchase by SBA, the Lender's right to request purchase on that default lapses" </w:t>
      </w:r>
      <w:hyperlink r:id="rId4" w:history="1">
        <w:r>
          <w:rPr>
            <w:rStyle w:val="Hyperlink"/>
            <w:rFonts w:ascii="Arial" w:eastAsia="Times New Roman" w:hAnsi="Arial" w:cs="Arial"/>
            <w:b w:val="0"/>
            <w:i w:val="0"/>
            <w:strike w:val="0"/>
            <w:color w:val="467886"/>
            <w:u w:val="none"/>
          </w:rPr>
          <w:t>13 CFR § 120.520</w:t>
        </w:r>
      </w:hyperlink>
      <w:r>
        <w:rPr>
          <w:rFonts w:ascii="Arial" w:eastAsia="Times New Roman" w:hAnsi="Arial" w:cs="Arial"/>
          <w:b w:val="0"/>
          <w:i w:val="0"/>
          <w:strike w:val="0"/>
          <w:color w:val="1D1D1D"/>
          <w:u w:val="none"/>
        </w:rPr>
        <w:t>. This suggests borrowers retain cure rights during the pre-purchase period, but the regulation does not specify notice requirements that would trigger these cure opportunities.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SBA regulations emphasize that lenders must service loans using "prudent lending standards" and in a "commercially reasonable manner" under 13 C.F.R. § 120.535 </w:t>
      </w:r>
      <w:hyperlink r:id="rId5" w:history="1">
        <w:r>
          <w:rPr>
            <w:rStyle w:val="Hyperlink"/>
            <w:rFonts w:ascii="Arial" w:eastAsia="Times New Roman" w:hAnsi="Arial" w:cs="Arial"/>
            <w:b w:val="0"/>
            <w:i w:val="0"/>
            <w:strike w:val="0"/>
            <w:color w:val="467886"/>
            <w:u w:val="none"/>
          </w:rPr>
          <w:t>13 CFR § 120.535</w:t>
        </w:r>
      </w:hyperlink>
      <w:r>
        <w:rPr>
          <w:rFonts w:ascii="Arial" w:eastAsia="Times New Roman" w:hAnsi="Arial" w:cs="Arial"/>
          <w:b w:val="0"/>
          <w:i w:val="0"/>
          <w:strike w:val="0"/>
          <w:color w:val="1D1D1D"/>
          <w:u w:val="none"/>
        </w:rPr>
        <w:t>. However, these standards do not translate into specific borrower notice rights or remedies for defective notice procedures.</w:t>
        <w:br/>
      </w:r>
    </w:p>
    <w:p>
      <w:pPr>
        <w:pStyle w:val="Heading3"/>
        <w:rPr>
          <w:b w:val="0"/>
          <w:i w:val="0"/>
          <w:strike w:val="0"/>
        </w:rPr>
      </w:pPr>
      <w:r>
        <w:rPr>
          <w:b/>
          <w:u w:val="none"/>
        </w:rPr>
        <w:t>Third Circuit Limitations on SBA Borrower Remedies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Third Circuit significantly limits SBA borrower remedies in </w:t>
      </w:r>
      <w:hyperlink r:id="rId6" w:history="1">
        <w:r>
          <w:rPr>
            <w:rStyle w:val="Hyperlink"/>
            <w:rFonts w:ascii="Arial" w:eastAsia="Times New Roman" w:hAnsi="Arial" w:cs="Arial"/>
            <w:b w:val="0"/>
            <w:i w:val="0"/>
            <w:strike w:val="0"/>
            <w:color w:val="467886"/>
            <w:u w:val="none"/>
          </w:rPr>
          <w:t>Conboy v. United States Small Business Administration, 992 F.3d 153 (2021)</w:t>
        </w:r>
      </w:hyperlink>
      <w:r>
        <w:rPr>
          <w:rFonts w:ascii="Arial" w:eastAsia="Times New Roman" w:hAnsi="Arial" w:cs="Arial"/>
          <w:b w:val="0"/>
          <w:i w:val="0"/>
          <w:strike w:val="0"/>
          <w:color w:val="1D1D1D"/>
          <w:u w:val="none"/>
        </w:rPr>
        <w:t xml:space="preserve">. The court held that "unconditional loan guarantees executed by borrowers who obtained small business loan from United States Small Business Association (SBA) and subsequently defaulted barred their contract claim against the SBA" </w:t>
      </w:r>
      <w:hyperlink r:id="rId6" w:history="1">
        <w:r>
          <w:rPr>
            <w:rStyle w:val="Hyperlink"/>
            <w:rFonts w:ascii="Arial" w:eastAsia="Times New Roman" w:hAnsi="Arial" w:cs="Arial"/>
            <w:b w:val="0"/>
            <w:i w:val="0"/>
            <w:strike w:val="0"/>
            <w:color w:val="467886"/>
            <w:u w:val="none"/>
          </w:rPr>
          <w:t>Conboy v. United States Small Business Administration, 992 F.3d 153 (2021)</w:t>
        </w:r>
      </w:hyperlink>
      <w:r>
        <w:rPr>
          <w:rFonts w:ascii="Arial" w:eastAsia="Times New Roman" w:hAnsi="Arial" w:cs="Arial"/>
          <w:b w:val="0"/>
          <w:i w:val="0"/>
          <w:strike w:val="0"/>
          <w:color w:val="1D1D1D"/>
          <w:u w:val="none"/>
        </w:rPr>
        <w:t>. This precedent demonstrates that borrowers face substantial hurdles in pursuing federal claims against the SBA based on procedural defects.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w:t>
      </w:r>
      <w:r>
        <w:rPr>
          <w:rFonts w:ascii="Arial" w:eastAsia="Times New Roman" w:hAnsi="Arial" w:cs="Arial"/>
          <w:b w:val="0"/>
          <w:i/>
          <w:strike w:val="0"/>
          <w:color w:val="1D1D1D"/>
          <w:u w:val="none"/>
        </w:rPr>
        <w:t>Conboy</w:t>
      </w:r>
      <w:r>
        <w:rPr>
          <w:rFonts w:ascii="Arial" w:eastAsia="Times New Roman" w:hAnsi="Arial" w:cs="Arial"/>
          <w:b w:val="0"/>
          <w:i w:val="0"/>
          <w:strike w:val="0"/>
          <w:color w:val="1D1D1D"/>
          <w:u w:val="none"/>
        </w:rPr>
        <w:t xml:space="preserve"> decision indicates that Third Circuit courts focus on collection procedures rather than notice defects when evaluating SBA borrower claims. The case involved borrowers who "used small business loan to purchase and renovate commercial property for use as restaurant, but subsequently defaulted on loan and sold property" and brought claims "asserting claims for breach of contract, unjust enrichment, defamation, and violation of the Pennsylvania Unfair Trade Practices and Consumer Protection Law" </w:t>
      </w:r>
      <w:hyperlink r:id="rId6" w:history="1">
        <w:r>
          <w:rPr>
            <w:rStyle w:val="Hyperlink"/>
            <w:rFonts w:ascii="Arial" w:eastAsia="Times New Roman" w:hAnsi="Arial" w:cs="Arial"/>
            <w:b w:val="0"/>
            <w:i w:val="0"/>
            <w:strike w:val="0"/>
            <w:color w:val="467886"/>
            <w:u w:val="none"/>
          </w:rPr>
          <w:t>Conboy v. United States Small Business Administration, 992 F.3d 153 (2021)</w:t>
        </w:r>
      </w:hyperlink>
      <w:r>
        <w:rPr>
          <w:rFonts w:ascii="Arial" w:eastAsia="Times New Roman" w:hAnsi="Arial" w:cs="Arial"/>
          <w:b w:val="0"/>
          <w:i w:val="0"/>
          <w:strike w:val="0"/>
          <w:color w:val="1D1D1D"/>
          <w:u w:val="none"/>
        </w:rPr>
        <w:t>. The court's grant of summary judgment against borrowers on all claims suggests limited federal remedies for procedural violations.</w:t>
        <w:br/>
      </w:r>
    </w:p>
    <w:p>
      <w:pPr>
        <w:pStyle w:val="Heading3"/>
        <w:rPr>
          <w:b w:val="0"/>
          <w:i w:val="0"/>
          <w:strike w:val="0"/>
        </w:rPr>
      </w:pPr>
      <w:r>
        <w:rPr>
          <w:b/>
          <w:u w:val="none"/>
        </w:rPr>
        <w:t>New Jersey State Law Remedies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New Jersey provides significantly more robust remedies for defective loan default notices under the landmark decision </w:t>
      </w:r>
      <w:hyperlink r:id="rId7"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KeyCite Yellow Flag" style="width:16pt;height:16pt">
              <v:imagedata r:id="rId8" o:title=""/>
            </v:shape>
          </w:pict>
        </w:r>
      </w:hyperlink>
      <w:r>
        <w:rPr>
          <w:rFonts w:ascii="Arial" w:eastAsia="Times New Roman" w:hAnsi="Arial" w:cs="Arial"/>
          <w:b w:val="0"/>
          <w:i w:val="0"/>
          <w:strike w:val="0"/>
          <w:color w:val="1D1D1D"/>
          <w:u w:val="none"/>
        </w:rPr>
        <w:t xml:space="preserve"> </w:t>
      </w:r>
      <w:hyperlink r:id="rId9" w:history="1">
        <w:r>
          <w:rPr>
            <w:rStyle w:val="Hyperlink"/>
            <w:rFonts w:ascii="Arial" w:eastAsia="Times New Roman" w:hAnsi="Arial" w:cs="Arial"/>
            <w:b w:val="0"/>
            <w:i w:val="0"/>
            <w:strike w:val="0"/>
            <w:color w:val="467886"/>
            <w:u w:val="none"/>
          </w:rPr>
          <w:t>US Bank Nat. Ass'n v. Guillaume, 209 N.J. 449 (2012)</w:t>
        </w:r>
      </w:hyperlink>
      <w:r>
        <w:rPr>
          <w:rFonts w:ascii="Arial" w:eastAsia="Times New Roman" w:hAnsi="Arial" w:cs="Arial"/>
          <w:b w:val="0"/>
          <w:i w:val="0"/>
          <w:strike w:val="0"/>
          <w:color w:val="1D1D1D"/>
          <w:u w:val="none"/>
        </w:rPr>
        <w:t>. While this case involved mortgage foreclosure rather than SBA loans, its principles apply broadly to loan default notice defects.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New Jersey Supreme Court established that "dismissal without prejudice is not the exclusive remedy for the service of a notice of intention that does not satisfy" statutory notice requirements </w:t>
      </w:r>
      <w:hyperlink r:id="rId7" w:history="1">
        <w:r>
          <w:pict>
            <v:shape id="_x0000_i1027" type="#_x0000_t75" alt="KeyCite Yellow Flag" style="width:16pt;height:16pt">
              <v:imagedata r:id="rId8" o:title=""/>
            </v:shape>
          </w:pict>
        </w:r>
      </w:hyperlink>
      <w:r>
        <w:rPr>
          <w:rFonts w:ascii="Arial" w:eastAsia="Times New Roman" w:hAnsi="Arial" w:cs="Arial"/>
          <w:b w:val="0"/>
          <w:i w:val="0"/>
          <w:strike w:val="0"/>
          <w:color w:val="1D1D1D"/>
          <w:u w:val="none"/>
        </w:rPr>
        <w:t xml:space="preserve"> </w:t>
      </w:r>
      <w:hyperlink r:id="rId9" w:history="1">
        <w:r>
          <w:rPr>
            <w:rStyle w:val="Hyperlink"/>
            <w:rFonts w:ascii="Arial" w:eastAsia="Times New Roman" w:hAnsi="Arial" w:cs="Arial"/>
            <w:b w:val="0"/>
            <w:i w:val="0"/>
            <w:strike w:val="0"/>
            <w:color w:val="467886"/>
            <w:u w:val="none"/>
          </w:rPr>
          <w:t>US Bank Nat. Ass'n v. Guillaume, 209 N.J. 449 (2012)</w:t>
        </w:r>
      </w:hyperlink>
      <w:r>
        <w:rPr>
          <w:rFonts w:ascii="Arial" w:eastAsia="Times New Roman" w:hAnsi="Arial" w:cs="Arial"/>
          <w:b w:val="0"/>
          <w:i w:val="0"/>
          <w:strike w:val="0"/>
          <w:color w:val="1D1D1D"/>
          <w:u w:val="none"/>
        </w:rPr>
        <w:t xml:space="preserve">. Instead, "a trial court adjudicating a foreclosure complaint in which the notice of intention does not comply with" notice requirements "may dismiss the action without prejudice, order the service of a corrected notice, or impose another remedy appropriate to the circumstances of the case" </w:t>
      </w:r>
      <w:hyperlink r:id="rId7" w:history="1">
        <w:r>
          <w:pict>
            <v:shape id="_x0000_i1028" type="#_x0000_t75" alt="KeyCite Yellow Flag" style="width:16pt;height:16pt">
              <v:imagedata r:id="rId8" o:title=""/>
            </v:shape>
          </w:pict>
        </w:r>
      </w:hyperlink>
      <w:r>
        <w:rPr>
          <w:rFonts w:ascii="Arial" w:eastAsia="Times New Roman" w:hAnsi="Arial" w:cs="Arial"/>
          <w:b w:val="0"/>
          <w:i w:val="0"/>
          <w:strike w:val="0"/>
          <w:color w:val="1D1D1D"/>
          <w:u w:val="none"/>
        </w:rPr>
        <w:t xml:space="preserve"> </w:t>
      </w:r>
      <w:hyperlink r:id="rId9" w:history="1">
        <w:r>
          <w:rPr>
            <w:rStyle w:val="Hyperlink"/>
            <w:rFonts w:ascii="Arial" w:eastAsia="Times New Roman" w:hAnsi="Arial" w:cs="Arial"/>
            <w:b w:val="0"/>
            <w:i w:val="0"/>
            <w:strike w:val="0"/>
            <w:color w:val="467886"/>
            <w:u w:val="none"/>
          </w:rPr>
          <w:t>US Bank Nat. Ass'n v. Guillaume, 209 N.J. 449 (2012)</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court emphasized that "courts of equity have long been charged with the responsibility to fashion equitable remedies that address the unique setting of each case" and that equitable remedies "are distinguished for their flexibility, their unlimited variety, their adaptability to circumstances" </w:t>
      </w:r>
      <w:hyperlink r:id="rId7" w:history="1">
        <w:r>
          <w:pict>
            <v:shape id="_x0000_i1029" type="#_x0000_t75" alt="KeyCite Yellow Flag" style="width:16pt;height:16pt">
              <v:imagedata r:id="rId8" o:title=""/>
            </v:shape>
          </w:pict>
        </w:r>
      </w:hyperlink>
      <w:r>
        <w:rPr>
          <w:rFonts w:ascii="Arial" w:eastAsia="Times New Roman" w:hAnsi="Arial" w:cs="Arial"/>
          <w:b w:val="0"/>
          <w:i w:val="0"/>
          <w:strike w:val="0"/>
          <w:color w:val="1D1D1D"/>
          <w:u w:val="none"/>
        </w:rPr>
        <w:t xml:space="preserve"> </w:t>
      </w:r>
      <w:hyperlink r:id="rId9" w:history="1">
        <w:r>
          <w:rPr>
            <w:rStyle w:val="Hyperlink"/>
            <w:rFonts w:ascii="Arial" w:eastAsia="Times New Roman" w:hAnsi="Arial" w:cs="Arial"/>
            <w:b w:val="0"/>
            <w:i w:val="0"/>
            <w:strike w:val="0"/>
            <w:color w:val="467886"/>
            <w:u w:val="none"/>
          </w:rPr>
          <w:t>US Bank Nat. Ass'n v. Guillaume, 209 N.J. 449 (2012)</w:t>
        </w:r>
      </w:hyperlink>
      <w:r>
        <w:rPr>
          <w:rFonts w:ascii="Arial" w:eastAsia="Times New Roman" w:hAnsi="Arial" w:cs="Arial"/>
          <w:b w:val="0"/>
          <w:i w:val="0"/>
          <w:strike w:val="0"/>
          <w:color w:val="1D1D1D"/>
          <w:u w:val="none"/>
        </w:rPr>
        <w:t>. This broad discretionary power enables New Jersey courts to craft specific remedies for SBA loan default notice defects.</w:t>
        <w:br/>
      </w:r>
    </w:p>
    <w:p>
      <w:pPr>
        <w:pStyle w:val="Heading3"/>
        <w:rPr>
          <w:b w:val="0"/>
          <w:i w:val="0"/>
          <w:strike w:val="0"/>
        </w:rPr>
      </w:pPr>
      <w:r>
        <w:rPr>
          <w:b/>
          <w:u w:val="none"/>
        </w:rPr>
        <w:t>Fee and Cost Adjustments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New Jersey courts possess specific authority to adjust fees and costs when lenders provide defective notices. The </w:t>
      </w:r>
      <w:r>
        <w:rPr>
          <w:rFonts w:ascii="Arial" w:eastAsia="Times New Roman" w:hAnsi="Arial" w:cs="Arial"/>
          <w:b w:val="0"/>
          <w:i/>
          <w:strike w:val="0"/>
          <w:color w:val="1D1D1D"/>
          <w:u w:val="none"/>
        </w:rPr>
        <w:t>Guillaume</w:t>
      </w:r>
      <w:r>
        <w:rPr>
          <w:rFonts w:ascii="Arial" w:eastAsia="Times New Roman" w:hAnsi="Arial" w:cs="Arial"/>
          <w:b w:val="0"/>
          <w:i w:val="0"/>
          <w:strike w:val="0"/>
          <w:color w:val="1D1D1D"/>
          <w:u w:val="none"/>
        </w:rPr>
        <w:t xml:space="preserve"> court held that "a trial court that permits a foreclosure plaintiff to cure a defective notice of intention has the discretion to reduce the fees and costs owed by the homeowner under N.J.S.A. 2A:50-57(b)(3) to adjust for the lender's service of a noncompliant notice of intention" </w:t>
      </w:r>
      <w:hyperlink r:id="rId7" w:history="1">
        <w:r>
          <w:pict>
            <v:shape id="_x0000_i1030" type="#_x0000_t75" alt="KeyCite Yellow Flag" style="width:16pt;height:16pt">
              <v:imagedata r:id="rId8" o:title=""/>
            </v:shape>
          </w:pict>
        </w:r>
      </w:hyperlink>
      <w:r>
        <w:rPr>
          <w:rFonts w:ascii="Arial" w:eastAsia="Times New Roman" w:hAnsi="Arial" w:cs="Arial"/>
          <w:b w:val="0"/>
          <w:i w:val="0"/>
          <w:strike w:val="0"/>
          <w:color w:val="1D1D1D"/>
          <w:u w:val="none"/>
        </w:rPr>
        <w:t xml:space="preserve"> </w:t>
      </w:r>
      <w:hyperlink r:id="rId9" w:history="1">
        <w:r>
          <w:rPr>
            <w:rStyle w:val="Hyperlink"/>
            <w:rFonts w:ascii="Arial" w:eastAsia="Times New Roman" w:hAnsi="Arial" w:cs="Arial"/>
            <w:b w:val="0"/>
            <w:i w:val="0"/>
            <w:strike w:val="0"/>
            <w:color w:val="467886"/>
            <w:u w:val="none"/>
          </w:rPr>
          <w:t>US Bank Nat. Ass'n v. Guillaume, 209 N.J. 449 (2012)</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court cited </w:t>
      </w:r>
      <w:r>
        <w:rPr>
          <w:rFonts w:ascii="Arial" w:eastAsia="Times New Roman" w:hAnsi="Arial" w:cs="Arial"/>
          <w:b w:val="0"/>
          <w:i/>
          <w:strike w:val="0"/>
          <w:color w:val="1D1D1D"/>
          <w:u w:val="none"/>
        </w:rPr>
        <w:t>GE Capital Mortgage Services v. Weisman</w:t>
      </w:r>
      <w:r>
        <w:rPr>
          <w:rFonts w:ascii="Arial" w:eastAsia="Times New Roman" w:hAnsi="Arial" w:cs="Arial"/>
          <w:b w:val="0"/>
          <w:i w:val="0"/>
          <w:strike w:val="0"/>
          <w:color w:val="1D1D1D"/>
          <w:u w:val="none"/>
        </w:rPr>
        <w:t xml:space="preserve">, which ordered "that corrected notice of intention 'shall not contain any fees or costs associated with the foreclosure action, but only those fees and costs which would have been due had no foreclosure been commenced'" </w:t>
      </w:r>
      <w:hyperlink r:id="rId7" w:history="1">
        <w:r>
          <w:pict>
            <v:shape id="_x0000_i1031" type="#_x0000_t75" alt="KeyCite Yellow Flag" style="width:16pt;height:16pt">
              <v:imagedata r:id="rId8" o:title=""/>
            </v:shape>
          </w:pict>
        </w:r>
      </w:hyperlink>
      <w:r>
        <w:rPr>
          <w:rFonts w:ascii="Arial" w:eastAsia="Times New Roman" w:hAnsi="Arial" w:cs="Arial"/>
          <w:b w:val="0"/>
          <w:i w:val="0"/>
          <w:strike w:val="0"/>
          <w:color w:val="1D1D1D"/>
          <w:u w:val="none"/>
        </w:rPr>
        <w:t xml:space="preserve"> </w:t>
      </w:r>
      <w:hyperlink r:id="rId9" w:history="1">
        <w:r>
          <w:rPr>
            <w:rStyle w:val="Hyperlink"/>
            <w:rFonts w:ascii="Arial" w:eastAsia="Times New Roman" w:hAnsi="Arial" w:cs="Arial"/>
            <w:b w:val="0"/>
            <w:i w:val="0"/>
            <w:strike w:val="0"/>
            <w:color w:val="467886"/>
            <w:u w:val="none"/>
          </w:rPr>
          <w:t>US Bank Nat. Ass'n v. Guillaume, 209 N.J. 449 (2012)</w:t>
        </w:r>
      </w:hyperlink>
      <w:r>
        <w:rPr>
          <w:rFonts w:ascii="Arial" w:eastAsia="Times New Roman" w:hAnsi="Arial" w:cs="Arial"/>
          <w:b w:val="0"/>
          <w:i w:val="0"/>
          <w:strike w:val="0"/>
          <w:color w:val="1D1D1D"/>
          <w:u w:val="none"/>
        </w:rPr>
        <w:t>. This precedent demonstrates that New Jersey courts can effectively waive collection fees attributable to defective notice procedures.</w:t>
        <w:br/>
      </w:r>
    </w:p>
    <w:p>
      <w:pPr>
        <w:pStyle w:val="Heading3"/>
        <w:rPr>
          <w:b w:val="0"/>
          <w:i w:val="0"/>
          <w:strike w:val="0"/>
        </w:rPr>
      </w:pPr>
      <w:r>
        <w:rPr>
          <w:b/>
          <w:u w:val="none"/>
        </w:rPr>
        <w:t>Practical Application and Limitations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remedy determination depends on the specific impact of the notice defect. New Jersey courts "should consider the impact of the defect in the notice of intention upon the homeowner's information about the status of the loan, and on his or her opportunity to cure the default" </w:t>
      </w:r>
      <w:hyperlink r:id="rId7" w:history="1">
        <w:r>
          <w:pict>
            <v:shape id="_x0000_i1032" type="#_x0000_t75" alt="KeyCite Yellow Flag" style="width:16pt;height:16pt">
              <v:imagedata r:id="rId8" o:title=""/>
            </v:shape>
          </w:pict>
        </w:r>
      </w:hyperlink>
      <w:r>
        <w:rPr>
          <w:rFonts w:ascii="Arial" w:eastAsia="Times New Roman" w:hAnsi="Arial" w:cs="Arial"/>
          <w:b w:val="0"/>
          <w:i w:val="0"/>
          <w:strike w:val="0"/>
          <w:color w:val="1D1D1D"/>
          <w:u w:val="none"/>
        </w:rPr>
        <w:t xml:space="preserve"> </w:t>
      </w:r>
      <w:hyperlink r:id="rId9" w:history="1">
        <w:r>
          <w:rPr>
            <w:rStyle w:val="Hyperlink"/>
            <w:rFonts w:ascii="Arial" w:eastAsia="Times New Roman" w:hAnsi="Arial" w:cs="Arial"/>
            <w:b w:val="0"/>
            <w:i w:val="0"/>
            <w:strike w:val="0"/>
            <w:color w:val="467886"/>
            <w:u w:val="none"/>
          </w:rPr>
          <w:t>US Bank Nat. Ass'n v. Guillaume, 209 N.J. 449 (2012)</w:t>
        </w:r>
      </w:hyperlink>
      <w:r>
        <w:rPr>
          <w:rFonts w:ascii="Arial" w:eastAsia="Times New Roman" w:hAnsi="Arial" w:cs="Arial"/>
          <w:b w:val="0"/>
          <w:i w:val="0"/>
          <w:strike w:val="0"/>
          <w:color w:val="1D1D1D"/>
          <w:u w:val="none"/>
        </w:rPr>
        <w:t>. Courts examine whether the defective notice actually prejudiced the borrower's ability to respond to the default situation.</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Complete default reversal remains unlikely under either federal or New Jersey law. However, borrowers may obtain corrected notices with adjusted timelines, reduced fees and costs, or dismissal without prejudice that permits lenders to restart the default process with proper notice procedures.</w:t>
      </w:r>
    </w:p>
    <w:p w:rsidR="000911FB" w:rsidRPr="00E5063B" w:rsidP="000911FB" w14:paraId="5F10F1E7" w14:textId="77777777">
      <w:pPr>
        <w:pStyle w:val="Report-Body"/>
      </w:pPr>
    </w:p>
    <w:p>
      <w:pPr>
        <w:pStyle w:val="Heading3"/>
        <w:rPr>
          <w:b w:val="0"/>
          <w:i w:val="0"/>
          <w:strike w:val="0"/>
        </w:rPr>
      </w:pPr>
      <w:r>
        <w:rPr>
          <w:b/>
          <w:u w:val="none"/>
        </w:rPr>
        <w:t>Administrative Decisions and Guidance</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The Small Business Administration (SBA) loan guaranty agreements and corresponding regulations impose a strict, material obligation on lenders to notify the SBA of any borrower default within a specified time frame—historically 30 to 45 days—to maintain the SBA’s obligation to purchase the guaranteed portion of the loan. Failure to provide timely written notice of default generally results in the SBA’s loss of authority to demand purchase of the loan or to pay accrued interest on the guaranteed portion from the date of default until notice is actually received. This notice requirement is treated as a binding contractual condition precedent that safeguards SBA’s servicing responsibilities by allowing prompt intervention to assist borrowers and mitigate losses. However, some administrative decisions indicate that if the SBA determines on a case-by-case basis that its interests have not suffered serious harm from a late notice, it may waive strict notice compliance and honor the guaranty, although with potential reduction or denial of accrued interest payments. Importantly, SBA regulations provide for reduction of interest payments corresponding only to unpaid accrued interest and generally do not authorize withholding amounts representing interest actually paid by the borrower post-default</w:t>
      </w:r>
      <w:hyperlink r:id="rId10" w:history="1">
        <w:r>
          <w:pict>
            <v:shape id="_x0000_i1033" type="#_x0000_t75" alt="KeyCite Yellow Flag" style="width:16pt;height:16pt">
              <v:imagedata r:id="rId8" o:title=""/>
            </v:shape>
          </w:pict>
        </w:r>
      </w:hyperlink>
      <w:r>
        <w:rPr>
          <w:rFonts w:ascii="Arial" w:eastAsia="Times New Roman" w:hAnsi="Arial" w:cs="Arial"/>
          <w:b w:val="0"/>
          <w:i w:val="0"/>
          <w:strike w:val="0"/>
          <w:color w:val="1D1D1D"/>
          <w:u w:val="none"/>
        </w:rPr>
        <w:t xml:space="preserve"> </w:t>
      </w:r>
      <w:hyperlink r:id="rId11" w:history="1">
        <w:r>
          <w:rPr>
            <w:rStyle w:val="Hyperlink"/>
            <w:rFonts w:ascii="Arial" w:eastAsia="Times New Roman" w:hAnsi="Arial" w:cs="Arial"/>
            <w:b w:val="0"/>
            <w:i w:val="0"/>
            <w:strike w:val="0"/>
            <w:color w:val="467886"/>
            <w:u w:val="none"/>
          </w:rPr>
          <w:t>Comp.Gen. B- 181432</w:t>
        </w:r>
      </w:hyperlink>
      <w:r>
        <w:rPr>
          <w:rFonts w:ascii="Arial" w:eastAsia="Times New Roman" w:hAnsi="Arial" w:cs="Arial"/>
          <w:b w:val="0"/>
          <w:i w:val="0"/>
          <w:strike w:val="0"/>
          <w:color w:val="1D1D1D"/>
          <w:u w:val="none"/>
        </w:rPr>
        <w:t xml:space="preserve">, </w:t>
      </w:r>
      <w:hyperlink r:id="rId12" w:history="1">
        <w:r>
          <w:rPr>
            <w:rStyle w:val="Hyperlink"/>
            <w:rFonts w:ascii="Arial" w:eastAsia="Times New Roman" w:hAnsi="Arial" w:cs="Arial"/>
            <w:b w:val="0"/>
            <w:i w:val="0"/>
            <w:strike w:val="0"/>
            <w:color w:val="467886"/>
            <w:u w:val="none"/>
          </w:rPr>
          <w:t>Comp.Gen. B- 181432</w:t>
        </w:r>
      </w:hyperlink>
      <w:r>
        <w:rPr>
          <w:rFonts w:ascii="Arial" w:eastAsia="Times New Roman" w:hAnsi="Arial" w:cs="Arial"/>
          <w:b w:val="0"/>
          <w:i w:val="0"/>
          <w:strike w:val="0"/>
          <w:color w:val="1D1D1D"/>
          <w:u w:val="none"/>
        </w:rPr>
        <w:t xml:space="preserve">, </w:t>
      </w:r>
      <w:hyperlink r:id="rId13" w:history="1">
        <w:r>
          <w:rPr>
            <w:rStyle w:val="Hyperlink"/>
            <w:rFonts w:ascii="Arial" w:eastAsia="Times New Roman" w:hAnsi="Arial" w:cs="Arial"/>
            <w:b w:val="0"/>
            <w:i w:val="0"/>
            <w:strike w:val="0"/>
            <w:color w:val="467886"/>
            <w:u w:val="none"/>
          </w:rPr>
          <w:t>Comp.Gen. B- 187945</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In addition, case law and SBA administrative rulings affirm that material breaches by lenders, such as improper use or disbursement of loan proceeds contrary to SBA regulations or guaranty terms, constitute conditions precedent that can relieve the SBA of liability to honor guarantees, potentially including collection of amounts paid through administrative offset. Such breaches implicate fiduciary duties and contractual obligations, and SBA’s obligation to pay can be voided if lenders fail to comply substantially with statutory or regulatory requirements. These principles emphasize strict lender adherence to notice and use-of-proceeds rules as prerequisites to SBA guarantee enforcement, although remedies such as reversal of default declarations or waiver of collection fees are not explicitly detailed and generally rest within SBA’s discretion and contractual enforcement mechanisms</w:t>
      </w:r>
      <w:hyperlink r:id="rId14" w:history="1">
        <w:r>
          <w:rPr>
            <w:rStyle w:val="Hyperlink"/>
            <w:rFonts w:ascii="Arial" w:eastAsia="Times New Roman" w:hAnsi="Arial" w:cs="Arial"/>
            <w:b w:val="0"/>
            <w:i w:val="0"/>
            <w:strike w:val="0"/>
            <w:color w:val="467886"/>
            <w:u w:val="none"/>
          </w:rPr>
          <w:t>S.B.A. SBA No. 525</w:t>
        </w:r>
      </w:hyperlink>
      <w:r>
        <w:rPr>
          <w:rFonts w:ascii="Arial" w:eastAsia="Times New Roman" w:hAnsi="Arial" w:cs="Arial"/>
          <w:b w:val="0"/>
          <w:i w:val="0"/>
          <w:strike w:val="0"/>
          <w:color w:val="1D1D1D"/>
          <w:u w:val="none"/>
        </w:rPr>
        <w:t>.</w:t>
        <w:br/>
      </w:r>
    </w:p>
    <w:p>
      <w:pPr>
        <w:pStyle w:val="Heading3"/>
        <w:rPr>
          <w:b w:val="0"/>
          <w:i w:val="0"/>
          <w:strike w:val="0"/>
        </w:rPr>
      </w:pPr>
      <w:r>
        <w:rPr>
          <w:b/>
          <w:u w:val="none"/>
        </w:rPr>
        <w:t>Commentary on This Question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Borrower remedies following defective notice by an SBA lender of a loan default generally depend on the terms of the loan documents, guaranty agreements, and applicable contract and UCC principles. Under UCC § 9-504(3), disposition of collateral after default by a secured party must be commercially reasonable, but a failure to provide proper notice of default or disposition does not necessarily void the default; it may instead create a presumption that the collateral’s fair market value equals the outstanding debt, shifting the burden to the lender to rebut it by proof of value. Defenses based on commercial unreasonableness may be waived by guarantors via contract provisions that waive presentment, demand, or notice of default and consent to disposition of collateral without contesting its value. While an SBA lender’s failure to give required notice or act in good faith might give rise to claims of breach of contract or violation of implied covenant, courts have held that material breaches are required to avoid contractual obligations, and minor or technical defaults may be excused to prevent disproportionate forfeiture </w:t>
      </w:r>
      <w:hyperlink r:id="rId15" w:history="1">
        <w:r>
          <w:rPr>
            <w:rStyle w:val="Hyperlink"/>
            <w:rFonts w:ascii="Arial" w:eastAsia="Times New Roman" w:hAnsi="Arial" w:cs="Arial"/>
            <w:b w:val="0"/>
            <w:i w:val="0"/>
            <w:strike w:val="0"/>
            <w:color w:val="467886"/>
            <w:u w:val="none"/>
          </w:rPr>
          <w:t>REST 2d CONTR § 229</w:t>
        </w:r>
      </w:hyperlink>
      <w:r>
        <w:rPr>
          <w:rFonts w:ascii="Arial" w:eastAsia="Times New Roman" w:hAnsi="Arial" w:cs="Arial"/>
          <w:b w:val="0"/>
          <w:i w:val="0"/>
          <w:strike w:val="0"/>
          <w:color w:val="1D1D1D"/>
          <w:u w:val="none"/>
        </w:rPr>
        <w:t xml:space="preserve">, </w:t>
      </w:r>
      <w:hyperlink r:id="rId16" w:history="1">
        <w:r>
          <w:rPr>
            <w:rStyle w:val="Hyperlink"/>
            <w:rFonts w:ascii="Arial" w:eastAsia="Times New Roman" w:hAnsi="Arial" w:cs="Arial"/>
            <w:b w:val="0"/>
            <w:i w:val="0"/>
            <w:strike w:val="0"/>
            <w:color w:val="467886"/>
            <w:u w:val="none"/>
          </w:rPr>
          <w:t>7 A.L.R.4th 308</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Regarding SBA loan guaranty agreements, courts generally enforce waivers of notice and do not require lenders or SBA to exhaust all collateral remedies before suing guarantors. Moreover, a failure to notify guarantors of subordination of rights or sales of collateral does not automatically invalidate guaranty liability unless the breach is material </w:t>
      </w:r>
      <w:hyperlink r:id="rId16" w:history="1">
        <w:r>
          <w:rPr>
            <w:rStyle w:val="Hyperlink"/>
            <w:rFonts w:ascii="Arial" w:eastAsia="Times New Roman" w:hAnsi="Arial" w:cs="Arial"/>
            <w:b w:val="0"/>
            <w:i w:val="0"/>
            <w:strike w:val="0"/>
            <w:color w:val="467886"/>
            <w:u w:val="none"/>
          </w:rPr>
          <w:t>7 A.L.R.4th 308</w:t>
        </w:r>
      </w:hyperlink>
      <w:r>
        <w:rPr>
          <w:rFonts w:ascii="Arial" w:eastAsia="Times New Roman" w:hAnsi="Arial" w:cs="Arial"/>
          <w:b w:val="0"/>
          <w:i w:val="0"/>
          <w:strike w:val="0"/>
          <w:color w:val="1D1D1D"/>
          <w:u w:val="none"/>
        </w:rPr>
        <w:t>. Remedies may include challenging the amount of deficiency if notice and commercially reasonable procedures were not followed, but reversal of default declarations is not guaranteed absent material breach or excusable default. Collection fees may be adjusted or waived if improper charges arise from defective notice practices, but this depends on the borrower’s contractual rights and proof of harm. These principles apply broadly in federal SBA loan disputes and guiding case law is consistent within the Third Circuit and New Jersey courts.</w:t>
        <w:br/>
      </w:r>
    </w:p>
    <w:p w:rsidR="008F6E98" w:rsidRPr="000F6139" w:rsidP="000911FB" w14:paraId="1BDDA594" w14:textId="4A1ED078">
      <w:pPr>
        <w:pStyle w:val="Report-Body"/>
        <w:rPr>
          <w:i/>
          <w:iCs/>
          <w:color w:val="626262"/>
        </w:rPr>
      </w:pPr>
      <w:r>
        <w:rPr>
          <w:b w:val="0"/>
          <w:i/>
          <w:strike w:val="0"/>
          <w:color w:val="626262"/>
        </w:rPr>
        <w:t>Generated by AI. Not legal advice. A qualified professional must verify accuracy and legal compliance.</w:t>
      </w:r>
    </w:p>
    <w:p w:rsidR="008F6E98" w:rsidP="00732345" w14:paraId="7F309E74" w14:textId="7FFD4E0F">
      <w:pPr>
        <w:pStyle w:val="Report-Body"/>
      </w:pPr>
    </w:p>
    <w:p w:rsidR="00A703EB" w:rsidP="00732345" w14:paraId="2236D9F8" w14:textId="77777777">
      <w:pPr>
        <w:pStyle w:val="Report-Body"/>
        <w:rPr>
          <w:sz w:val="36"/>
          <w:szCs w:val="36"/>
        </w:rPr>
      </w:pPr>
    </w:p>
    <w:p w:rsidR="000911FB" w:rsidRPr="00E5063B" w:rsidP="000911FB" w14:paraId="016C5B73" w14:textId="5B4649AF">
      <w:pPr>
        <w:pStyle w:val="Report-Body"/>
      </w:pPr>
    </w:p>
    <w:p w:rsidR="000911FB" w:rsidP="00EC22E0" w14:paraId="6971FCAF" w14:textId="1A7F0E9B">
      <w:pPr>
        <w:spacing w:before="113" w:after="113"/>
        <w:rPr>
          <w:rFonts w:eastAsiaTheme="minorEastAsia"/>
          <w:b/>
        </w:rPr>
      </w:pPr>
    </w:p>
    <w:p w:rsidR="000911FB" w:rsidP="000911FB" w14:paraId="54F7B823" w14:textId="77777777">
      <w:pPr>
        <w:pStyle w:val="Report-Heading"/>
        <w:rPr>
          <w:rFonts w:eastAsiaTheme="majorEastAsia"/>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283253753"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34" style="mso-wrap-distance-bottom:0;mso-wrap-distance-left:9pt;mso-wrap-distance-right:9pt;mso-wrap-distance-top:0;mso-wrap-style:square;position:absolute;visibility:visible;z-index:251659264" from="0,0.95pt" to="465pt,0.95pt" strokecolor="black" strokeweight="1.5pt">
                <v:stroke joinstyle="miter"/>
              </v:line>
            </w:pict>
          </mc:Fallback>
        </mc:AlternateContent>
      </w:r>
    </w:p>
    <w:p w:rsidR="000911FB" w:rsidP="000911FB" w14:paraId="3E600C81" w14:textId="77777777">
      <w:pPr>
        <w:pStyle w:val="Report-Heading"/>
      </w:pPr>
      <w:r w:rsidRPr="00956E15">
        <w:rPr>
          <w:rFonts w:eastAsiaTheme="majorEastAsia"/>
        </w:rPr>
        <w:t>Sources (</w:t>
      </w:r>
      <w:r>
        <w:rPr>
          <w:b w:val="0"/>
          <w:i w:val="0"/>
          <w:strike w:val="0"/>
        </w:rPr>
        <w:t>13</w:t>
      </w:r>
      <w:r w:rsidRPr="00956E15">
        <w:t>)</w:t>
      </w:r>
    </w:p>
    <w:p w:rsidR="000911FB" w:rsidRPr="00E5063B" w:rsidP="000911FB" w14:paraId="05CC7906" w14:textId="77777777">
      <w:pPr>
        <w:pStyle w:val="Report-Body"/>
      </w:pPr>
    </w:p>
    <w:p w:rsidR="000911FB" w:rsidP="000911FB" w14:paraId="3D36BA02" w14:textId="03D3B1FE">
      <w:pPr>
        <w:pStyle w:val="Report-Body"/>
      </w:pPr>
      <w:r>
        <w:rPr>
          <w:b/>
          <w:i w:val="0"/>
          <w:strike w:val="0"/>
        </w:rPr>
        <w:t>1</w:t>
      </w:r>
      <w:r w:rsidRPr="00755B14">
        <w:rPr>
          <w:b/>
          <w:bCs/>
        </w:rPr>
        <w:t>.</w:t>
      </w:r>
      <w:r>
        <w:t xml:space="preserve"> </w:t>
      </w:r>
      <w:r>
        <w:t xml:space="preserve"> </w:t>
      </w:r>
      <w:hyperlink r:id="rId4" w:history="1">
        <w:r>
          <w:rPr>
            <w:rStyle w:val="Hyperlink"/>
            <w:b/>
            <w:i w:val="0"/>
            <w:strike w:val="0"/>
            <w:color w:val="467886"/>
            <w:u w:val="single"/>
          </w:rPr>
          <w:t>§ 120.520 Purchase of 7(a) loan guarantees.</w:t>
        </w:r>
      </w:hyperlink>
    </w:p>
    <w:p w:rsidR="000911FB" w:rsidRPr="00C67A9D" w:rsidP="000911FB" w14:paraId="778AA143" w14:textId="43CA2655">
      <w:pPr>
        <w:pStyle w:val="Report-Metadata"/>
        <w:rPr>
          <w:b w:val="0"/>
          <w:bCs w:val="0"/>
        </w:rPr>
      </w:pPr>
      <w:r>
        <w:rPr>
          <w:b/>
          <w:i w:val="0"/>
          <w:strike w:val="0"/>
        </w:rPr>
        <w:t>13 C.F.R. § 120.520</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Purchase of 7(a) loan guarantees, establishing SBA purchase procedures after borrower default exceeding 60 days and borrower cure rights before SBA purchase</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...A Lender may demand in writing that SBA honor its guarantee if the Borrower is in default on any installment for more than 60 calendar days (or less if SBA agrees) and the default has not been cured, provided all business personal property securing the defaulted SBA loan has been liquidated....</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...If a Borrower cures a default before a Lender requests purchase by SBA, the Lender's right to request purchase on that default lapses....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2</w:t>
      </w:r>
      <w:r w:rsidRPr="00755B14">
        <w:rPr>
          <w:b/>
          <w:bCs/>
        </w:rPr>
        <w:t>.</w:t>
      </w:r>
      <w:r>
        <w:t xml:space="preserve"> </w:t>
      </w:r>
      <w:r>
        <w:t xml:space="preserve"> </w:t>
      </w:r>
      <w:hyperlink r:id="rId5" w:history="1">
        <w:r>
          <w:rPr>
            <w:rStyle w:val="Hyperlink"/>
            <w:b/>
            <w:i w:val="0"/>
            <w:strike w:val="0"/>
            <w:color w:val="467886"/>
            <w:u w:val="single"/>
          </w:rPr>
          <w:t>§ 120.535 Standards for Lender and CDC loan servicing, loan liquidation and debt collection litigation.</w:t>
        </w:r>
      </w:hyperlink>
    </w:p>
    <w:p w:rsidR="000911FB" w:rsidRPr="00C67A9D" w:rsidP="000911FB" w14:textId="43CA2655">
      <w:pPr>
        <w:pStyle w:val="Report-Metadata"/>
        <w:rPr>
          <w:b w:val="0"/>
          <w:bCs w:val="0"/>
        </w:rPr>
      </w:pPr>
      <w:r>
        <w:rPr>
          <w:b/>
          <w:i w:val="0"/>
          <w:strike w:val="0"/>
        </w:rPr>
        <w:t>13 C.F.R. § 120.535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Standards for Lender and CDC loan servicing, loan liquidation and debt collection litigation, requiring commercially reasonable servicing practices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...(a) Service using prudent lending standards. Lenders and CDCs must service 7(a) and 504 loans in their portfolio no less diligently than their non-SBA portfolio, and in a commercially reasonable manner, consistent with prudent lending standards, and in accordance with Loan Program Requirements. Those Lenders and CDCs that do not maintain a non-SBA loan portfolio must adhere to the same prudent lending standards for loan servicing followed by commercial lenders on loans without a government guarantee....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3</w:t>
      </w:r>
      <w:r w:rsidRPr="00755B14">
        <w:rPr>
          <w:b/>
          <w:bCs/>
        </w:rPr>
        <w:t>.</w:t>
      </w:r>
      <w:r>
        <w:t xml:space="preserve"> </w:t>
      </w:r>
      <w:r>
        <w:t xml:space="preserve"> </w:t>
      </w:r>
      <w:hyperlink r:id="rId6" w:history="1">
        <w:r>
          <w:rPr>
            <w:rStyle w:val="Hyperlink"/>
            <w:b/>
            <w:i w:val="0"/>
            <w:strike w:val="0"/>
            <w:color w:val="467886"/>
            <w:u w:val="single"/>
          </w:rPr>
          <w:t>Conboy v. United States Small Business Administration</w:t>
        </w:r>
      </w:hyperlink>
    </w:p>
    <w:p w:rsidR="000911FB" w:rsidRPr="00C67A9D" w:rsidP="000911FB" w14:textId="43CA2655">
      <w:pPr>
        <w:pStyle w:val="Report-Metadata"/>
        <w:rPr>
          <w:b w:val="0"/>
          <w:bCs w:val="0"/>
        </w:rPr>
      </w:pPr>
      <w:r>
        <w:rPr>
          <w:b/>
          <w:i w:val="0"/>
          <w:strike w:val="0"/>
        </w:rPr>
        <w:t>United States Court of Appeals, Third Circuit.</w:t>
      </w:r>
      <w:r w:rsidRPr="00C67A9D">
        <w:rPr>
          <w:b w:val="0"/>
          <w:bCs w:val="0"/>
        </w:rPr>
        <w:t xml:space="preserve">   •   </w:t>
      </w:r>
      <w:r>
        <w:rPr>
          <w:b/>
          <w:i w:val="0"/>
          <w:strike w:val="0"/>
        </w:rPr>
        <w:t>March 19, 2021</w:t>
      </w:r>
      <w:r w:rsidRPr="00C67A9D">
        <w:rPr>
          <w:b w:val="0"/>
          <w:bCs w:val="0"/>
        </w:rPr>
        <w:t xml:space="preserve">   •   </w:t>
      </w:r>
      <w:r>
        <w:rPr>
          <w:b/>
          <w:i w:val="0"/>
          <w:strike w:val="0"/>
        </w:rPr>
        <w:t>992 F.3d 153</w:t>
      </w:r>
      <w:r w:rsidRPr="00C67A9D">
        <w:rPr>
          <w:b w:val="0"/>
          <w:bCs w:val="0"/>
        </w:rPr>
        <w:t xml:space="preserve">   •   </w:t>
      </w:r>
      <w:r>
        <w:rPr>
          <w:b/>
          <w:i w:val="0"/>
          <w:strike w:val="0"/>
        </w:rPr>
        <w:t>2021 WL 1081089</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unconditional SBA loan guarantees bar borrower contract claims against SBA and limit available remedies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...Unconditional loan guarantees executed by borrowers who obtained small business loan from United States Small Business Association (SBA) and subsequently defaulted barred their contract claim against the SBA; by not filing counterstatement of material facts required by local rule, borrowers "admitted" that guarantees foreclosed bringing state-law claim to deny their loan obligations. U.S.Dist.Ct.Rules M.D.Pa., Rule 56.1....</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...Background: Borrowers who used small business loan to purchase and renovate commercial property for use as restaurant, but subsequently defaulted on loan and sold property, brought state-court action against United States Small Business Association (SBA), entity to which SBA had assigned debt for collection, and others, asserting claims for breach of contract, unjust enrichment, defamation, and violation of the Pennsylvania Unfair Trade Practices and Consumer Protection Law (UTPCPL), the Fair Debt Collection Practices Act (FDCPA), and the Fair</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4</w:t>
      </w:r>
      <w:r w:rsidRPr="00755B14">
        <w:rPr>
          <w:b/>
          <w:bCs/>
        </w:rPr>
        <w:t>.</w:t>
      </w:r>
      <w:r>
        <w:t xml:space="preserve"> </w:t>
      </w:r>
      <w:hyperlink r:id="rId7" w:history="1">
        <w:r>
          <w:pict>
            <v:shape id="_x0000_i1035" type="#_x0000_t75" alt="KeyCite Yellow Flag" style="width:16pt;height:16pt">
              <v:imagedata r:id="rId8" o:title=""/>
            </v:shape>
          </w:pict>
        </w:r>
      </w:hyperlink>
      <w:r>
        <w:t xml:space="preserve"> </w:t>
      </w:r>
      <w:hyperlink r:id="rId9" w:history="1">
        <w:r>
          <w:rPr>
            <w:rStyle w:val="Hyperlink"/>
            <w:b/>
            <w:i w:val="0"/>
            <w:strike w:val="0"/>
            <w:color w:val="467886"/>
            <w:u w:val="single"/>
          </w:rPr>
          <w:t>US Bank Nat. Ass'n v. Guillaume</w:t>
        </w:r>
      </w:hyperlink>
    </w:p>
    <w:p w:rsidR="000911FB" w:rsidRPr="00C67A9D" w:rsidP="000911FB" w14:textId="43CA2655">
      <w:pPr>
        <w:pStyle w:val="Report-Metadata"/>
        <w:rPr>
          <w:b w:val="0"/>
          <w:bCs w:val="0"/>
        </w:rPr>
      </w:pPr>
      <w:r>
        <w:rPr>
          <w:b/>
          <w:i w:val="0"/>
          <w:strike w:val="0"/>
        </w:rPr>
        <w:t>Supreme Court of New Jersey.</w:t>
      </w:r>
      <w:r w:rsidRPr="00C67A9D">
        <w:rPr>
          <w:b w:val="0"/>
          <w:bCs w:val="0"/>
        </w:rPr>
        <w:t xml:space="preserve">   •   </w:t>
      </w:r>
      <w:r>
        <w:rPr>
          <w:b/>
          <w:i w:val="0"/>
          <w:strike w:val="0"/>
        </w:rPr>
        <w:t>February 27, 2012</w:t>
      </w:r>
      <w:r w:rsidRPr="00C67A9D">
        <w:rPr>
          <w:b w:val="0"/>
          <w:bCs w:val="0"/>
        </w:rPr>
        <w:t xml:space="preserve">   •   </w:t>
      </w:r>
      <w:r>
        <w:rPr>
          <w:b/>
          <w:i w:val="0"/>
          <w:strike w:val="0"/>
        </w:rPr>
        <w:t>209 N.J. 449</w:t>
      </w:r>
      <w:r w:rsidRPr="00C67A9D">
        <w:rPr>
          <w:b w:val="0"/>
          <w:bCs w:val="0"/>
        </w:rPr>
        <w:t xml:space="preserve">   •   </w:t>
      </w:r>
      <w:r>
        <w:rPr>
          <w:b/>
          <w:i w:val="0"/>
          <w:strike w:val="0"/>
        </w:rPr>
        <w:t>38 A.3d 570</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New Jersey courts' broad equitable discretion to fashion remedies for defective loan default notices including fee adjustments and corrected notice requirements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5</w:t>
            </w:r>
            <w:r>
              <w:rPr>
                <w:rFonts w:ascii="Arial" w:eastAsia="Times New Roman" w:hAnsi="Arial" w:cs="Arial"/>
                <w:b w:val="0"/>
                <w:i w:val="0"/>
                <w:strike w:val="0"/>
                <w:color w:val="1D1D1D"/>
              </w:rPr>
              <w:br/>
              <w:t xml:space="preserve">...We hold that dismissal without prejudice is not the exclusive remedy for the service of a notice of intention that does not satisfy </w:t>
            </w:r>
            <w:r>
              <w:rPr>
                <w:rFonts w:ascii="Arial" w:eastAsia="Times New Roman" w:hAnsi="Arial" w:cs="Arial"/>
                <w:b w:val="0"/>
                <w:i/>
                <w:strike w:val="0"/>
                <w:color w:val="1D1D1D"/>
              </w:rPr>
              <w:t>N.J.S.A.</w:t>
            </w:r>
            <w:r>
              <w:rPr>
                <w:rFonts w:ascii="Arial" w:eastAsia="Times New Roman" w:hAnsi="Arial" w:cs="Arial"/>
                <w:b w:val="0"/>
                <w:i w:val="0"/>
                <w:strike w:val="0"/>
                <w:color w:val="1D1D1D"/>
              </w:rPr>
              <w:t xml:space="preserve"> 2A:50–56(c)(11). A trial court adjudicating a foreclosure complaint in which the notice of intention does not comply with </w:t>
            </w:r>
            <w:r>
              <w:rPr>
                <w:rFonts w:ascii="Arial" w:eastAsia="Times New Roman" w:hAnsi="Arial" w:cs="Arial"/>
                <w:b w:val="0"/>
                <w:i/>
                <w:strike w:val="0"/>
                <w:color w:val="1D1D1D"/>
              </w:rPr>
              <w:t>N.J.S.A.</w:t>
            </w:r>
            <w:r>
              <w:rPr>
                <w:rFonts w:ascii="Arial" w:eastAsia="Times New Roman" w:hAnsi="Arial" w:cs="Arial"/>
                <w:b w:val="0"/>
                <w:i w:val="0"/>
                <w:strike w:val="0"/>
                <w:color w:val="1D1D1D"/>
              </w:rPr>
              <w:t xml:space="preserve"> 2A:50–56(c)(11) may dismiss the action without prejudice, order the service of a corrected notice, or impose another remedy appropriate to the circumstances of the case....</w:t>
              <w:br/>
              <w:br/>
            </w:r>
            <w:r>
              <w:rPr>
                <w:rFonts w:ascii="Arial" w:eastAsia="Times New Roman" w:hAnsi="Arial" w:cs="Arial"/>
                <w:b/>
                <w:i w:val="0"/>
                <w:strike w:val="0"/>
                <w:color w:val="1D1D1D"/>
              </w:rPr>
              <w:t>Supporting section 2 of 5</w:t>
            </w:r>
            <w:r>
              <w:rPr>
                <w:rFonts w:ascii="Arial" w:eastAsia="Times New Roman" w:hAnsi="Arial" w:cs="Arial"/>
                <w:b w:val="0"/>
                <w:i w:val="0"/>
                <w:strike w:val="0"/>
                <w:color w:val="1D1D1D"/>
              </w:rPr>
              <w:br/>
              <w:t>...Courts of equity have long been charged with the responsibility to fashion equitable remedies that address the unique setting of each case: Equitable remedies “are distinguished for their flexibility, their unlimited variety, their adaptability to circumstances, and the natural rules which govern their use. There is in fact no limit to their variety and application; the court of equity has the power of devising its remedy and shaping it so as to fit the changing circumstances of every case and the complex relations of all the parties.” [[*Sears,</w:t>
              <w:br/>
              <w:br/>
            </w:r>
            <w:r>
              <w:rPr>
                <w:rFonts w:ascii="Arial" w:eastAsia="Times New Roman" w:hAnsi="Arial" w:cs="Arial"/>
                <w:b/>
                <w:i w:val="0"/>
                <w:strike w:val="0"/>
                <w:color w:val="1D1D1D"/>
              </w:rPr>
              <w:t>Supporting section 3 of 5</w:t>
            </w:r>
            <w:r>
              <w:rPr>
                <w:rFonts w:ascii="Arial" w:eastAsia="Times New Roman" w:hAnsi="Arial" w:cs="Arial"/>
                <w:b w:val="0"/>
                <w:i w:val="0"/>
                <w:strike w:val="0"/>
                <w:color w:val="1D1D1D"/>
              </w:rPr>
              <w:br/>
              <w:t xml:space="preserve">...A trial court that permits a foreclosure plaintiff to cure a defective notice of intention has the discretion to reduce the fees and costs owed by the homeowner under </w:t>
            </w:r>
            <w:r>
              <w:rPr>
                <w:rFonts w:ascii="Arial" w:eastAsia="Times New Roman" w:hAnsi="Arial" w:cs="Arial"/>
                <w:b w:val="0"/>
                <w:i/>
                <w:strike w:val="0"/>
                <w:color w:val="1D1D1D"/>
              </w:rPr>
              <w:t>N.J.S.A.</w:t>
            </w:r>
            <w:r>
              <w:rPr>
                <w:rFonts w:ascii="Arial" w:eastAsia="Times New Roman" w:hAnsi="Arial" w:cs="Arial"/>
                <w:b w:val="0"/>
                <w:i w:val="0"/>
                <w:strike w:val="0"/>
                <w:color w:val="1D1D1D"/>
              </w:rPr>
              <w:t xml:space="preserve"> 2A:50–57(b)(3) to adjust for the lender's service of a noncompliant notice of intention. </w:t>
            </w:r>
            <w:r>
              <w:rPr>
                <w:rFonts w:ascii="Arial" w:eastAsia="Times New Roman" w:hAnsi="Arial" w:cs="Arial"/>
                <w:b w:val="0"/>
                <w:i/>
                <w:strike w:val="0"/>
                <w:color w:val="1D1D1D"/>
              </w:rPr>
              <w:t>See, e.g.,</w:t>
            </w:r>
            <w:r>
              <w:rPr>
                <w:rFonts w:ascii="Arial" w:eastAsia="Times New Roman" w:hAnsi="Arial" w:cs="Arial"/>
                <w:b w:val="0"/>
                <w:i w:val="0"/>
                <w:strike w:val="0"/>
                <w:color w:val="1D1D1D"/>
              </w:rPr>
              <w:t xml:space="preserve"> [</w:t>
            </w:r>
            <w:r>
              <w:rPr>
                <w:rFonts w:ascii="Arial" w:eastAsia="Times New Roman" w:hAnsi="Arial" w:cs="Arial"/>
                <w:b w:val="0"/>
                <w:i/>
                <w:strike w:val="0"/>
                <w:color w:val="1D1D1D"/>
              </w:rPr>
              <w:t>GE Capital Mortgage Servs., supra,</w:t>
            </w:r>
            <w:r>
              <w:rPr>
                <w:rFonts w:ascii="Arial" w:eastAsia="Times New Roman" w:hAnsi="Arial" w:cs="Arial"/>
                <w:b w:val="0"/>
                <w:i w:val="0"/>
                <w:strike w:val="0"/>
                <w:color w:val="1D1D1D"/>
              </w:rPr>
              <w:t xml:space="preserve"> 339 </w:t>
            </w:r>
            <w:r>
              <w:rPr>
                <w:rFonts w:ascii="Arial" w:eastAsia="Times New Roman" w:hAnsi="Arial" w:cs="Arial"/>
                <w:b w:val="0"/>
                <w:i/>
                <w:strike w:val="0"/>
                <w:color w:val="1D1D1D"/>
              </w:rPr>
              <w:t>N.J.Super....</w:t>
              <w:br/>
              <w:br/>
            </w:r>
            <w:r>
              <w:rPr>
                <w:rFonts w:ascii="Arial" w:eastAsia="Times New Roman" w:hAnsi="Arial" w:cs="Arial"/>
                <w:b/>
                <w:i/>
                <w:strike w:val="0"/>
                <w:color w:val="1D1D1D"/>
              </w:rPr>
              <w:t>Supporting section 4 of 5</w:t>
            </w:r>
            <w:r>
              <w:rPr>
                <w:rFonts w:ascii="Arial" w:eastAsia="Times New Roman" w:hAnsi="Arial" w:cs="Arial"/>
                <w:b w:val="0"/>
                <w:i/>
                <w:strike w:val="0"/>
                <w:color w:val="1D1D1D"/>
              </w:rPr>
              <w:br/>
              <w:t>...d 122 (ordering that corrected notice of intention “shall not contain any fees or costs associated with the foreclosure action, but only those fees and costs which would have been due had no foreclosure been commenced”)....</w:t>
              <w:br/>
              <w:br/>
            </w:r>
            <w:r>
              <w:rPr>
                <w:rFonts w:ascii="Arial" w:eastAsia="Times New Roman" w:hAnsi="Arial" w:cs="Arial"/>
                <w:b/>
                <w:i/>
                <w:strike w:val="0"/>
                <w:color w:val="1D1D1D"/>
              </w:rPr>
              <w:t>Supporting section 5 of 5</w:t>
            </w:r>
            <w:r>
              <w:rPr>
                <w:rFonts w:ascii="Arial" w:eastAsia="Times New Roman" w:hAnsi="Arial" w:cs="Arial"/>
                <w:b w:val="0"/>
                <w:i/>
                <w:strike w:val="0"/>
                <w:color w:val="1D1D1D"/>
              </w:rPr>
              <w:br/>
              <w:t>...,</w:t>
            </w:r>
            <w:r>
              <w:rPr>
                <w:rFonts w:ascii="Arial" w:eastAsia="Times New Roman" w:hAnsi="Arial" w:cs="Arial"/>
                <w:b w:val="0"/>
                <w:i w:val="0"/>
                <w:strike w:val="0"/>
                <w:color w:val="1D1D1D"/>
              </w:rPr>
              <w:t xml:space="preserve"> </w:t>
            </w:r>
            <w:r>
              <w:rPr>
                <w:rFonts w:ascii="Arial" w:eastAsia="Times New Roman" w:hAnsi="Arial" w:cs="Arial"/>
                <w:b w:val="0"/>
                <w:i/>
                <w:strike w:val="0"/>
                <w:color w:val="1D1D1D"/>
              </w:rPr>
              <w:t>supra,</w:t>
            </w:r>
            <w:r>
              <w:rPr>
                <w:rFonts w:ascii="Arial" w:eastAsia="Times New Roman" w:hAnsi="Arial" w:cs="Arial"/>
                <w:b w:val="0"/>
                <w:i w:val="0"/>
                <w:strike w:val="0"/>
                <w:color w:val="1D1D1D"/>
              </w:rPr>
              <w:t xml:space="preserve"> at 8. Accordingly, a trial court fashioning an equitable remedy for a violation of </w:t>
            </w:r>
            <w:r>
              <w:rPr>
                <w:rFonts w:ascii="Arial" w:eastAsia="Times New Roman" w:hAnsi="Arial" w:cs="Arial"/>
                <w:b w:val="0"/>
                <w:i/>
                <w:strike w:val="0"/>
                <w:color w:val="1D1D1D"/>
              </w:rPr>
              <w:t>N.J.S.A.</w:t>
            </w:r>
            <w:r>
              <w:rPr>
                <w:rFonts w:ascii="Arial" w:eastAsia="Times New Roman" w:hAnsi="Arial" w:cs="Arial"/>
                <w:b w:val="0"/>
                <w:i w:val="0"/>
                <w:strike w:val="0"/>
                <w:color w:val="1D1D1D"/>
              </w:rPr>
              <w:t xml:space="preserve"> 2A:50–56(c)(11) should consider the impact of the defect in the notice of intention upon the homeowner's information about the status of the loan, and on his or her opportunity to cure the default....</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5</w:t>
      </w:r>
      <w:r w:rsidRPr="00755B14">
        <w:rPr>
          <w:b/>
          <w:bCs/>
        </w:rPr>
        <w:t>.</w:t>
      </w:r>
      <w:r>
        <w:t xml:space="preserve"> </w:t>
      </w:r>
      <w:hyperlink r:id="rId10" w:history="1">
        <w:r>
          <w:pict>
            <v:shape id="_x0000_i1036" type="#_x0000_t75" alt="KeyCite Yellow Flag" style="width:16pt;height:16pt">
              <v:imagedata r:id="rId8" o:title=""/>
            </v:shape>
          </w:pict>
        </w:r>
      </w:hyperlink>
      <w:r>
        <w:t xml:space="preserve"> </w:t>
      </w:r>
      <w:hyperlink r:id="rId11" w:history="1">
        <w:r>
          <w:rPr>
            <w:rStyle w:val="Hyperlink"/>
            <w:b/>
            <w:i w:val="0"/>
            <w:strike w:val="0"/>
            <w:color w:val="467886"/>
            <w:u w:val="single"/>
          </w:rPr>
          <w:t>SBA SECTION 7(A) BUSINESS LOANS</w:t>
        </w:r>
      </w:hyperlink>
    </w:p>
    <w:p w:rsidR="000911FB" w:rsidRPr="00C67A9D" w:rsidP="000911FB" w14:textId="43CA2655">
      <w:pPr>
        <w:pStyle w:val="Report-Metadata"/>
        <w:rPr>
          <w:b w:val="0"/>
          <w:bCs w:val="0"/>
        </w:rPr>
      </w:pPr>
      <w:r>
        <w:rPr>
          <w:b/>
          <w:i w:val="0"/>
          <w:strike w:val="0"/>
        </w:rPr>
        <w:t>Comp.Gen.</w:t>
      </w:r>
      <w:r w:rsidRPr="00C67A9D">
        <w:rPr>
          <w:b w:val="0"/>
          <w:bCs w:val="0"/>
        </w:rPr>
        <w:t xml:space="preserve">   •   </w:t>
      </w:r>
      <w:r>
        <w:rPr>
          <w:b/>
          <w:i w:val="0"/>
          <w:strike w:val="0"/>
        </w:rPr>
        <w:t>February 19, 1976</w:t>
      </w:r>
      <w:r w:rsidRPr="00C67A9D">
        <w:rPr>
          <w:b w:val="0"/>
          <w:bCs w:val="0"/>
        </w:rPr>
        <w:t xml:space="preserve">   •   </w:t>
      </w:r>
      <w:r>
        <w:rPr>
          <w:b/>
          <w:i w:val="0"/>
          <w:strike w:val="0"/>
        </w:rPr>
        <w:t>B- 181432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...3 IN VIEW OF THE FOREGOING, WE REQUESTED, AND HAVE RECENTLY RECEIVED, A REPORT FROM SBA CONCERNING ITS LEGAL AUTHORITY TO PURCHASE LOANS DESPITE A BANK'S FAILURE TO COMPLY WITH THE 30-DAY NOTICE REQUIREMENT AS SET FORTH IN SBA'S REGULATIONS AND THE LOAN GUARANTY AGREEMENT. THE SBA REPORT ADVANCES SEVERAL THEORIES TO SUPPORT SUCH AUTHORITY. HOWEVER, AFTER CAREFUL CONSIDERATION OF THE SBA ARGUMENTS AND FOR THE REASONS STATED HEREAFTER, WE CONCLUDE THAT THE AGENCY IS LEGALLY BOUND TO COMPLY WITH THIS REQUIREMENT AS WRITTEN. ACCORDINGLY, IT IS OUR</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...1 UNDER SMALL BUSINESS ADMINISTRATION (SBA) ‘SECTION 7(A) BUSINESS LOAN PROGRAM, ‘ AUTHORIZED BY 15 U.S.C. SEC. 636, REQUIREMENT IN STATUTORY REGULATIONS AND LOAN GUARANTY AGREEMENT THAT LENDER NOTIFY SBA WITHIN 30 DAYS OF BORROWER'S DEFAULT IN ORDER TO DEMAND SBA PURCHASE OF GUARANTEED LOAN CONSTITUTES A MATERIAL AND LEGALLY BINDING ELEMENT IN CONTRACTUAL RELATIONSHIP BETWEEN SBA AND LENDING INSTITUTION. THEREFORE, SBA CANNOT WAIVE NONCOMPLIANCE WITH SUCH REQUIREMENT AND LACKS AUTHORITY TO PURCHASE LOAN FOR WHICH REQUIRED 30-DAY NOTICE HAS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6</w:t>
      </w:r>
      <w:r w:rsidRPr="00755B14">
        <w:rPr>
          <w:b/>
          <w:bCs/>
        </w:rPr>
        <w:t>.</w:t>
      </w:r>
      <w:r>
        <w:t xml:space="preserve"> </w:t>
      </w:r>
      <w:r>
        <w:t xml:space="preserve"> </w:t>
      </w:r>
      <w:hyperlink r:id="rId12" w:history="1">
        <w:r>
          <w:rPr>
            <w:rStyle w:val="Hyperlink"/>
            <w:b/>
            <w:i w:val="0"/>
            <w:strike w:val="0"/>
            <w:color w:val="467886"/>
            <w:u w:val="single"/>
          </w:rPr>
          <w:t>BANK OF TRADE, SAN FRANCISCO, CALIFORNIA - SBA GUARANTEED LOAN.:</w:t>
        </w:r>
      </w:hyperlink>
    </w:p>
    <w:p w:rsidR="000911FB" w:rsidRPr="00C67A9D" w:rsidP="000911FB" w14:textId="43CA2655">
      <w:pPr>
        <w:pStyle w:val="Report-Metadata"/>
        <w:rPr>
          <w:b w:val="0"/>
          <w:bCs w:val="0"/>
        </w:rPr>
      </w:pPr>
      <w:r>
        <w:rPr>
          <w:b/>
          <w:i w:val="0"/>
          <w:strike w:val="0"/>
        </w:rPr>
        <w:t>Comp.Gen.</w:t>
      </w:r>
      <w:r w:rsidRPr="00C67A9D">
        <w:rPr>
          <w:b w:val="0"/>
          <w:bCs w:val="0"/>
        </w:rPr>
        <w:t xml:space="preserve">   •   </w:t>
      </w:r>
      <w:r>
        <w:rPr>
          <w:b/>
          <w:i w:val="0"/>
          <w:strike w:val="0"/>
        </w:rPr>
        <w:t>September 04, 1979</w:t>
      </w:r>
      <w:r w:rsidRPr="00C67A9D">
        <w:rPr>
          <w:b w:val="0"/>
          <w:bCs w:val="0"/>
        </w:rPr>
        <w:t xml:space="preserve">   •   </w:t>
      </w:r>
      <w:r>
        <w:rPr>
          <w:b/>
          <w:i w:val="0"/>
          <w:strike w:val="0"/>
        </w:rPr>
        <w:t>B- 181432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...2 SBA'S REGULATIONS PROVIDE THAT WHENEVER NOTIFICATION OF DEFAULT IS NOT RECEIVED WITHIN 45 DAYS, UNLESS OTHERWISE EXCUSED, THE LENDER SHALL NOT RECEIVE ACCRUED INTEREST ON THE GUARANTEED PORTION OF THE LOAN FROM THE DATE OF DEFAULT UNTIL THE DATE SBA RECEIVES NOTICE. SBA INTERPRETED THIS TO REQUIRE THAT THE INTEREST THAT BECAME DUE ON THE GUARANTEED BALANCE OF THE LOAN BETWEEN JUNE 1, 1977, AND MARCH 20, 1978, SHOULD BE DEDUCTED FROM THE AMOUNT TO BE PAID TO THE BANK. IN THIS FASHION, SBA DETERMINED THAT $7,118.57, REPRESENTING ‘ACCRUED ‘ INTEREST</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...4 ACCORDINGLY, IT IS OUR VIEW THAT UNDER THE REGULATION, WHENEVER A BANK DOES NOT NOTIFY SBA OF A BORROWER'S DEFAULT WITHIN 45 DAYS, SBA'S OBLIGATION TO PURCHASE FROM THE BANK THE GUARANTEED PORTION OF THE OUTSTANDING BALANCE OF THE LOAN PLUS INTEREST ON THAT AMOUNT SHOULD BE REDUCED BY THE AMOUNT OF UNPAID INTEREST THAT ACCRUED ON THE GUARANTEED PORTION BETWEEN THE DATE OF DEFAULT AND THE DATE NOTICE WAS RECEIVED. HOWEVER, IF THE BANK'S CLAIM TO SBA DOES NOT INCLUDE ACCRUED UNPAID INTEREST BECAUSE THE BORROWER SUBSEQUENTLY (AFTER THE DEFAULT)</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7</w:t>
      </w:r>
      <w:r w:rsidRPr="00755B14">
        <w:rPr>
          <w:b/>
          <w:bCs/>
        </w:rPr>
        <w:t>.</w:t>
      </w:r>
      <w:r>
        <w:t xml:space="preserve"> </w:t>
      </w:r>
      <w:r>
        <w:t xml:space="preserve"> </w:t>
      </w:r>
      <w:hyperlink r:id="rId13" w:history="1">
        <w:r>
          <w:rPr>
            <w:rStyle w:val="Hyperlink"/>
            <w:b/>
            <w:i w:val="0"/>
            <w:strike w:val="0"/>
            <w:color w:val="467886"/>
            <w:u w:val="single"/>
          </w:rPr>
          <w:t>FIRST NATIONAL BANK OF TAHLEQUAH, OKLAHOMA:</w:t>
        </w:r>
      </w:hyperlink>
    </w:p>
    <w:p w:rsidR="000911FB" w:rsidRPr="00C67A9D" w:rsidP="000911FB" w14:textId="43CA2655">
      <w:pPr>
        <w:pStyle w:val="Report-Metadata"/>
        <w:rPr>
          <w:b w:val="0"/>
          <w:bCs w:val="0"/>
        </w:rPr>
      </w:pPr>
      <w:r>
        <w:rPr>
          <w:b/>
          <w:i w:val="0"/>
          <w:strike w:val="0"/>
        </w:rPr>
        <w:t>Comp.Gen.</w:t>
      </w:r>
      <w:r w:rsidRPr="00C67A9D">
        <w:rPr>
          <w:b w:val="0"/>
          <w:bCs w:val="0"/>
        </w:rPr>
        <w:t xml:space="preserve">   •   </w:t>
      </w:r>
      <w:r>
        <w:rPr>
          <w:b/>
          <w:i w:val="0"/>
          <w:strike w:val="0"/>
        </w:rPr>
        <w:t>March 22, 1977</w:t>
      </w:r>
      <w:r w:rsidRPr="00C67A9D">
        <w:rPr>
          <w:b w:val="0"/>
          <w:bCs w:val="0"/>
        </w:rPr>
        <w:t xml:space="preserve">   •   </w:t>
      </w:r>
      <w:r>
        <w:rPr>
          <w:b/>
          <w:i w:val="0"/>
          <w:strike w:val="0"/>
        </w:rPr>
        <w:t>B- 187945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3</w:t>
            </w:r>
            <w:r>
              <w:rPr>
                <w:rFonts w:ascii="Arial" w:eastAsia="Times New Roman" w:hAnsi="Arial" w:cs="Arial"/>
                <w:b w:val="0"/>
                <w:i w:val="0"/>
                <w:strike w:val="0"/>
                <w:color w:val="1D1D1D"/>
              </w:rPr>
              <w:br/>
              <w:t>...2 AT THIS POINT, SBA'S SUBMISSION EXPLAINS THE CIRCUMSTANCES OF THE BANK'S ‘WAIVER‘ OF INTEREST IN PERTINENT PART AS FOLLOWS:3‘1. ON MARCH 16, 1976, SBA'S LOAN OFFICER SIGNED SBA FORM 327, FORMALLY RECOMMENDING PURCHASE OF THE GUARANTEED SHARE OF THE LOAN. THE FORM 327 WAS PREPARED IN ACCORDANCE WITH THE GUIDELINES SET FORTH IN SBA'S STANDARD OPERATING PROCEDURE (SOP 50 50 2), AS REVISED TO REFLECT YOUR DECISION OF FEBRUARY 19, 1976, CONCERNING THE LEGAL EFFECT OF FAILURE TO GIVE TIMELY NOTICE OF DEFAULT. IN ACCORDANCE WITH THAT SOP, THE LOAN</w:t>
              <w:br/>
              <w:br/>
            </w:r>
            <w:r>
              <w:rPr>
                <w:rFonts w:ascii="Arial" w:eastAsia="Times New Roman" w:hAnsi="Arial" w:cs="Arial"/>
                <w:b/>
                <w:i w:val="0"/>
                <w:strike w:val="0"/>
                <w:color w:val="1D1D1D"/>
              </w:rPr>
              <w:t>Supporting section 2 of 3</w:t>
            </w:r>
            <w:r>
              <w:rPr>
                <w:rFonts w:ascii="Arial" w:eastAsia="Times New Roman" w:hAnsi="Arial" w:cs="Arial"/>
                <w:b w:val="0"/>
                <w:i w:val="0"/>
                <w:strike w:val="0"/>
                <w:color w:val="1D1D1D"/>
              </w:rPr>
              <w:br/>
              <w:t>...5 SEE 13 C.F.R. 122.10(B)(1) (1975) AS WELL AS PARAGRAPH 7 OF THE GUARANTY AGREEMENT, WHICH CONTAINED SIMILAR LANGUAGE DURING THE PERIOD IN QUESTION. UNDER THIS LANGUAGE, ESPECIALLY THE DEFINITION OF ‘DEFAULT‘ CONTAINED THEREIN, A DEFAULT BY THE BORROWER AS TO EITHER PRINCIPAL OR INTEREST IS SUFFICIENT TO TRIGGER SBA'S OBLIGATION TO PURCHASE THE GUARANTEED PORTION OF THE OUTSTANDING LOAN BALANCE, IN ADDITION TO ANY ACCRUED INTEREST DUE AND OWING FROM THE BORROWER AS OF THE DATE OF PURCHASE BY SBA, PROVIDED THAT THE BANK EITHER COMPLIED WITH</w:t>
              <w:br/>
              <w:br/>
            </w:r>
            <w:r>
              <w:rPr>
                <w:rFonts w:ascii="Arial" w:eastAsia="Times New Roman" w:hAnsi="Arial" w:cs="Arial"/>
                <w:b/>
                <w:i w:val="0"/>
                <w:strike w:val="0"/>
                <w:color w:val="1D1D1D"/>
              </w:rPr>
              <w:t>Supporting section 3 of 3</w:t>
            </w:r>
            <w:r>
              <w:rPr>
                <w:rFonts w:ascii="Arial" w:eastAsia="Times New Roman" w:hAnsi="Arial" w:cs="Arial"/>
                <w:b w:val="0"/>
                <w:i w:val="0"/>
                <w:strike w:val="0"/>
                <w:color w:val="1D1D1D"/>
              </w:rPr>
              <w:br/>
              <w:t>...4 IN OUR DECISION B-181342, FEBRUARY 19, 1976, SUPRA, WHICH FORMED THE BASIS FOR SBA'S INITIAL DETERMINATION THAT THE BANK WAS NOT ENTITLED TO THE ACCRUED INTEREST, WE CONCLUDED THAT SBA LACKED AUTHORITY TO PURCHASE A GUARANTEED LOAN WHEN THE LENDING INSTITUTION INVOLVED HAD NOT NOTIFIED SBA OF THE BORROWER'S DEFAULT WITHIN 30 DAYS AS REQUIRED BY THE GUARANTY AGREEMENT AND THE REGULATIONS. HOWEVER, OUR DECISION FURTHER STATED:4‘ * * * IN VIEW OF THE LARGE NUMBER OF LOANS IN THIS CATEGORY THAT HAVE ALREADY BEEN PURCHASED BY SBA AND CONSIDERING</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8</w:t>
      </w:r>
      <w:r w:rsidRPr="00755B14">
        <w:rPr>
          <w:b/>
          <w:bCs/>
        </w:rPr>
        <w:t>.</w:t>
      </w:r>
      <w:r>
        <w:t xml:space="preserve"> </w:t>
      </w:r>
      <w:r>
        <w:t xml:space="preserve"> </w:t>
      </w:r>
      <w:hyperlink r:id="rId14" w:history="1">
        <w:r>
          <w:rPr>
            <w:rStyle w:val="Hyperlink"/>
            <w:b/>
            <w:i w:val="0"/>
            <w:strike w:val="0"/>
            <w:color w:val="467886"/>
            <w:u w:val="single"/>
          </w:rPr>
          <w:t>Union Bank Petitioner v. Small Business Administration Agency</w:t>
        </w:r>
      </w:hyperlink>
    </w:p>
    <w:p w:rsidR="000911FB" w:rsidRPr="00C67A9D" w:rsidP="000911FB" w14:textId="43CA2655">
      <w:pPr>
        <w:pStyle w:val="Report-Metadata"/>
        <w:rPr>
          <w:b w:val="0"/>
          <w:bCs w:val="0"/>
        </w:rPr>
      </w:pPr>
      <w:r>
        <w:rPr>
          <w:b/>
          <w:i w:val="0"/>
          <w:strike w:val="0"/>
        </w:rPr>
        <w:t>S.B.A.</w:t>
      </w:r>
      <w:r w:rsidRPr="00C67A9D">
        <w:rPr>
          <w:b w:val="0"/>
          <w:bCs w:val="0"/>
        </w:rPr>
        <w:t xml:space="preserve">   •   </w:t>
      </w:r>
      <w:r>
        <w:rPr>
          <w:b/>
          <w:i w:val="0"/>
          <w:strike w:val="0"/>
        </w:rPr>
        <w:t>August 09, 1991</w:t>
      </w:r>
      <w:r w:rsidRPr="00C67A9D">
        <w:rPr>
          <w:b w:val="0"/>
          <w:bCs w:val="0"/>
        </w:rPr>
        <w:t xml:space="preserve">   •   </w:t>
      </w:r>
      <w:r>
        <w:rPr>
          <w:b/>
          <w:i w:val="0"/>
          <w:strike w:val="0"/>
        </w:rPr>
        <w:t>SBA No. 525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3</w:t>
            </w:r>
            <w:r>
              <w:rPr>
                <w:rFonts w:ascii="Arial" w:eastAsia="Times New Roman" w:hAnsi="Arial" w:cs="Arial"/>
                <w:b w:val="0"/>
                <w:i w:val="0"/>
                <w:strike w:val="0"/>
                <w:color w:val="1D1D1D"/>
              </w:rPr>
              <w:br/>
              <w:t>...6 Based upon the preceding evidence and argument, the Agency asserts that, by failing to perform the conditions precedent to SBA's obligation to pay under the Loan Guaranty Agreements, Petitioner substantially breached its contract with the Agency, “rendering the SBA's obligation of payment null and void.” In support, it cites 13 CFR 120.202–5, which provides as follows concerning SBA's liability on guaranteed loans:6 SBA shall be released from obligation to purchase its share of the guaranteed loan unless the Lender has substantially complied</w:t>
              <w:br/>
              <w:br/>
            </w:r>
            <w:r>
              <w:rPr>
                <w:rFonts w:ascii="Arial" w:eastAsia="Times New Roman" w:hAnsi="Arial" w:cs="Arial"/>
                <w:b/>
                <w:i w:val="0"/>
                <w:strike w:val="0"/>
                <w:color w:val="1D1D1D"/>
              </w:rPr>
              <w:t>Supporting section 2 of 3</w:t>
            </w:r>
            <w:r>
              <w:rPr>
                <w:rFonts w:ascii="Arial" w:eastAsia="Times New Roman" w:hAnsi="Arial" w:cs="Arial"/>
                <w:b w:val="0"/>
                <w:i w:val="0"/>
                <w:strike w:val="0"/>
                <w:color w:val="1D1D1D"/>
              </w:rPr>
              <w:br/>
              <w:t>...12 It is immaterial that the inventory acquired from Simpson with the loan proceeds was added to the collateral in case of default on the loan. SBA did not “bargain for” an unnecessary loan to a borrower who already owned over 80 percent (on a cost-value basis) of the inventory to be purchased with the loan proceeds. Nor did it “bargain for” that default which was virtually assured when this owner was permitted to “cash out” on his prior investments by selling those investments as inventory to his debtor-business. Petitioner's actions in providing</w:t>
              <w:br/>
              <w:br/>
            </w:r>
            <w:r>
              <w:rPr>
                <w:rFonts w:ascii="Arial" w:eastAsia="Times New Roman" w:hAnsi="Arial" w:cs="Arial"/>
                <w:b/>
                <w:i w:val="0"/>
                <w:strike w:val="0"/>
                <w:color w:val="1D1D1D"/>
              </w:rPr>
              <w:t>Supporting section 3 of 3</w:t>
            </w:r>
            <w:r>
              <w:rPr>
                <w:rFonts w:ascii="Arial" w:eastAsia="Times New Roman" w:hAnsi="Arial" w:cs="Arial"/>
                <w:b w:val="0"/>
                <w:i w:val="0"/>
                <w:strike w:val="0"/>
                <w:color w:val="1D1D1D"/>
              </w:rPr>
              <w:br/>
              <w:t>...1 This case is before the Office of Hearings and Appeals (OHA) on a Petition for Review filed by Union Bank (Petitioner) pursuant to SBA regulations codified at 13 CFR Parts 134 and 140. The basis of the Petition is the stated intention of the SBA to collect monies it alleges Petitioner owes the Agency, through the administrative offset of funds due Petitioner from other defaulted loans that the Agency has guaranteed. Petitioner received SBA's Notice of Intent to Collect by Administrative Offset from the Agency on May 21, 1991. The amount identified</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9</w:t>
      </w:r>
      <w:r w:rsidRPr="00755B14">
        <w:rPr>
          <w:b/>
          <w:bCs/>
        </w:rPr>
        <w:t>.</w:t>
      </w:r>
      <w:r>
        <w:t xml:space="preserve"> </w:t>
      </w:r>
      <w:r>
        <w:t xml:space="preserve"> </w:t>
      </w:r>
      <w:hyperlink r:id="rId15" w:history="1">
        <w:r>
          <w:rPr>
            <w:rStyle w:val="Hyperlink"/>
            <w:b/>
            <w:i w:val="0"/>
            <w:strike w:val="0"/>
            <w:color w:val="467886"/>
            <w:u w:val="single"/>
          </w:rPr>
          <w:t>§ 229 Excuse of a Condition to Avoid Forfeiture</w:t>
        </w:r>
      </w:hyperlink>
    </w:p>
    <w:p w:rsidR="000911FB" w:rsidRPr="00C67A9D" w:rsidP="000911FB" w14:textId="43CA2655">
      <w:pPr>
        <w:pStyle w:val="Report-Metadata"/>
        <w:rPr>
          <w:b w:val="0"/>
          <w:bCs w:val="0"/>
        </w:rPr>
      </w:pPr>
      <w:r>
        <w:rPr>
          <w:b/>
          <w:i w:val="0"/>
          <w:strike w:val="0"/>
        </w:rPr>
        <w:t>Restatement of the Law - Contracts</w:t>
      </w:r>
      <w:r w:rsidRPr="00C67A9D">
        <w:rPr>
          <w:b w:val="0"/>
          <w:bCs w:val="0"/>
        </w:rPr>
        <w:t xml:space="preserve">   •   </w:t>
      </w:r>
      <w:r>
        <w:rPr>
          <w:b/>
          <w:i w:val="0"/>
          <w:strike w:val="0"/>
        </w:rPr>
        <w:t>REST 2d CONTR § 229</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...N.D.Ill.1990. Cit. in case quot. in disc. The Small Business Administration (SBA) guaranteed 90% of a bank loan to a car dealership. Neither the bank nor the SBA checked the dealership's loan application before approving the loan. The dealership later defaulted after it was destroyed by fire. The SBA honored its guaranty and sued the bank for breach of contract, inter alia, to recover the money paid under the guaranty. Granting the defendant's motion for summary judgment, the court held that, because the defendant did not materially breach its</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...C.A.5, 1995. Com. (b) cit. in headnote and quot. in sup. Borrower that had given equity securities of his company as security for a loan sued lender for selling the securities without respecting borrower's contractual right of first refusal. The district court granted summary judgment for defendant on the ground that borrower failed to perform a condition precedent to his right of first refusal. Reversing and remanding, this court held, inter alia, that borrower's dissolution of his company's subsidiary, which had been one of the guarantors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10</w:t>
      </w:r>
      <w:r w:rsidRPr="00755B14">
        <w:rPr>
          <w:b/>
          <w:bCs/>
        </w:rPr>
        <w:t>.</w:t>
      </w:r>
      <w:r>
        <w:t xml:space="preserve"> </w:t>
      </w:r>
      <w:r>
        <w:t xml:space="preserve"> </w:t>
      </w:r>
      <w:hyperlink r:id="rId16" w:history="1">
        <w:r>
          <w:rPr>
            <w:rStyle w:val="Hyperlink"/>
            <w:b/>
            <w:i w:val="0"/>
            <w:strike w:val="0"/>
            <w:color w:val="467886"/>
            <w:u w:val="single"/>
          </w:rPr>
          <w:t>What is "commercially reasonable" disposition of collateral required by UCC § 9-504(3)</w:t>
        </w:r>
      </w:hyperlink>
    </w:p>
    <w:p w:rsidR="000911FB" w:rsidRPr="00C67A9D" w:rsidP="000911FB" w14:textId="43CA2655">
      <w:pPr>
        <w:pStyle w:val="Report-Metadata"/>
        <w:rPr>
          <w:b w:val="0"/>
          <w:bCs w:val="0"/>
        </w:rPr>
      </w:pPr>
      <w:r>
        <w:rPr>
          <w:b/>
          <w:i w:val="0"/>
          <w:strike w:val="0"/>
        </w:rPr>
        <w:t>American Law Reports ALR4th</w:t>
      </w:r>
      <w:r w:rsidRPr="00C67A9D">
        <w:rPr>
          <w:b w:val="0"/>
          <w:bCs w:val="0"/>
        </w:rPr>
        <w:t xml:space="preserve">   •   </w:t>
      </w:r>
      <w:r>
        <w:rPr>
          <w:b/>
          <w:i w:val="0"/>
          <w:strike w:val="0"/>
        </w:rPr>
        <w:t>7 A.L.R.4th 308</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...In action by federal Small Business Administration (SBA) against guarantors of debtor's SBA loan, court held (1) that defense under UCC § 9-504(3) of commercial unreasonableness in disposition of collateral can be waived by agreement of parties; and (2) that defendant guarantors had waived such defense in their guaranty agreement by (a) waiving right of presentment, demand, protest, or notice of debtor's dishonor or other default; (b) consenting to plaintiff's substitution, exchange, or release of all or any part of debtor's collateral; (c)</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...In action by United States on behalf of Small Business Administration (SBA) against guarantors of bank loan in which SBA participated, in which action guarantors raised defense of alleged breach by SBA of duty of good faith owed to guarantors, where (1) bank made $175,000 loan to debtor corporation that (a) was secured by pledge of debtor's assets, and (b) was also guaranteed by defendants, (2) in exchange for SBA's guarantee of such loan, bank assigned to SBA loan note and all rights related thereto, including collateral for loan and defendants'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pPr>
        <w:pStyle w:val="Report-SubheadLvl1"/>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sz w:val="26"/>
        </w:rPr>
        <w:t>Additional sources</w:t>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rPr>
        <w:t>These sources are not cited in your report, but can provide context that may be helpful.</w:t>
      </w:r>
    </w:p>
    <w:p w:rsidR="000911FB" w:rsidRPr="00E5063B" w:rsidP="000911FB" w14:paraId="5C581A35" w14:textId="77777777">
      <w:pPr>
        <w:spacing w:before="113" w:after="113"/>
        <w:rPr>
          <w:rFonts w:cs="Arial"/>
          <w:b/>
          <w:sz w:val="16"/>
        </w:rPr>
      </w:pPr>
    </w:p>
    <w:p w:rsidR="000911FB" w:rsidP="000911FB" w14:paraId="3AF2579E" w14:textId="03B1B35D">
      <w:pPr>
        <w:pStyle w:val="Report-Body"/>
      </w:pPr>
      <w:r>
        <w:rPr>
          <w:b/>
          <w:i w:val="0"/>
          <w:strike w:val="0"/>
        </w:rPr>
        <w:t>11</w:t>
      </w:r>
      <w:r w:rsidRPr="00755B14">
        <w:rPr>
          <w:b/>
          <w:bCs/>
        </w:rPr>
        <w:t>.</w:t>
      </w:r>
      <w:r w:rsidRPr="00E5063B">
        <w:t xml:space="preserve"> </w:t>
      </w:r>
      <w:r>
        <w:t xml:space="preserve"> </w:t>
      </w:r>
      <w:hyperlink r:id="rId17" w:history="1">
        <w:r>
          <w:rPr>
            <w:rStyle w:val="Hyperlink"/>
            <w:b/>
            <w:i w:val="0"/>
            <w:strike w:val="0"/>
            <w:color w:val="467886"/>
            <w:u w:val="single"/>
          </w:rPr>
          <w:t>Small Business Administration Loan Workouts</w:t>
        </w:r>
      </w:hyperlink>
    </w:p>
    <w:p w:rsidR="000911FB" w:rsidRPr="00C67A9D" w:rsidP="000911FB" w14:paraId="7E18259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paraId="7F67AA02"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Practice Note providing guidance on managing workouts for loans offered to small businesses by the US Small Business Administration (SBA). This Note addresses the critical steps for both lenders and borrowers when an SBA loan is in default. It details a lender's recourse, including its strict obligations for collection, liquidation of assets, and enforcement against a personal guaranty before it can request the SBA to honor its guaranty. For borrowers and guarantors facing a loan deficiency, this Note explains strategic options, including loan</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12</w:t>
      </w:r>
      <w:r w:rsidRPr="00755B14">
        <w:rPr>
          <w:b/>
          <w:bCs/>
        </w:rPr>
        <w:t>.</w:t>
      </w:r>
      <w:r w:rsidRPr="00E5063B">
        <w:t xml:space="preserve"> </w:t>
      </w:r>
      <w:r>
        <w:t xml:space="preserve"> </w:t>
      </w:r>
      <w:hyperlink r:id="rId18" w:history="1">
        <w:r>
          <w:rPr>
            <w:rStyle w:val="Hyperlink"/>
            <w:b/>
            <w:i w:val="0"/>
            <w:strike w:val="0"/>
            <w:color w:val="467886"/>
            <w:u w:val="single"/>
          </w:rPr>
          <w:t>Lender's Remedies and Enforcement Issues</w:t>
        </w:r>
      </w:hyperlink>
    </w:p>
    <w:p w:rsidR="000911FB" w:rsidRPr="00C67A9D" w:rsidP="000911F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Practice Note discussing a lender's available remedies following an event of default under a loan agreement. This Practice Note examines various enforcement actions against the borrower, guarantors, and the collateral. It outlines contractual remedies such as accelerating the loan and exercising set-off rights, as well as remedies available under Article 9 of the Uniform Commercial Code (UCC). Key UCC remedies are explored, including the collection of payments, the disposition of collateral, and retention (strict foreclosure), all of which are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13</w:t>
      </w:r>
      <w:r w:rsidRPr="00755B14">
        <w:rPr>
          <w:b/>
          <w:bCs/>
        </w:rPr>
        <w:t>.</w:t>
      </w:r>
      <w:r w:rsidRPr="00E5063B">
        <w:t xml:space="preserve"> </w:t>
      </w:r>
      <w:r>
        <w:t xml:space="preserve"> </w:t>
      </w:r>
      <w:hyperlink r:id="rId19" w:history="1">
        <w:r>
          <w:rPr>
            <w:rStyle w:val="Hyperlink"/>
            <w:b/>
            <w:i w:val="0"/>
            <w:strike w:val="0"/>
            <w:color w:val="467886"/>
            <w:u w:val="single"/>
          </w:rPr>
          <w:t>Loan Agreement Events of Default: Lenders' Remedies Toolkit</w:t>
        </w:r>
      </w:hyperlink>
    </w:p>
    <w:p w:rsidR="000911FB" w:rsidRPr="00C67A9D" w:rsidP="000911FB" w14:textId="77777777">
      <w:pPr>
        <w:pStyle w:val="Report-Metadata"/>
        <w:rPr>
          <w:b w:val="0"/>
          <w:bCs w:val="0"/>
        </w:rPr>
      </w:pPr>
      <w:r>
        <w:rPr>
          <w:b/>
          <w:i w:val="0"/>
          <w:strike w:val="0"/>
        </w:rPr>
        <w:t>Toolkit</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Resources that assist counsel in understanding the potential courses of action available to lenders when an event of default exists under a loan agreement. This Toolkit explores the rights and remedies available to lenders when an event of default occurs. It outlines the main options lenders can pursue, including exercising contractual remedies (such as accelerating obligations, refusing to extend further credit, charging default interest, exercising rights of set-off, and enforcing rights against any collateral), seeking a court-ordered resolution,</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F3725" w14:paraId="7E7DF2DC" w14:textId="29C35765">
      <w:pPr>
        <w:pStyle w:val="Report-Body"/>
      </w:pP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000000"/>
          <w:sz w:val="36"/>
        </w:rPr>
        <w:t>Research Steps</w:t>
        <w:br/>
      </w:r>
    </w:p>
    <w:p>
      <w:pPr>
        <w:numPr>
          <w:ilvl w:val="0"/>
          <w:numId w:val="34"/>
        </w:numPr>
        <w:rPr>
          <w:b w:val="0"/>
          <w:i w:val="0"/>
          <w:strike w:val="0"/>
        </w:rPr>
      </w:pPr>
      <w:r>
        <w:rPr>
          <w:rFonts w:ascii="Arial" w:eastAsia="Times New Roman" w:hAnsi="Arial" w:cs="Arial"/>
          <w:b w:val="0"/>
          <w:i w:val="0"/>
          <w:strike w:val="0"/>
          <w:color w:val="1D1D1D"/>
        </w:rPr>
        <w:t>Researching SBA loan default notice requirements under federal regulations, specifically examining 13 C.F.R. § 120.520 and related provisions governing lender obligations before declaring default</w:t>
      </w:r>
    </w:p>
    <w:p>
      <w:pPr>
        <w:numPr>
          <w:ilvl w:val="1"/>
          <w:numId w:val="34"/>
        </w:numPr>
        <w:rPr>
          <w:b w:val="0"/>
          <w:i w:val="0"/>
          <w:strike w:val="0"/>
        </w:rPr>
      </w:pPr>
      <w:r>
        <w:rPr>
          <w:rFonts w:ascii="Arial" w:eastAsia="Times New Roman" w:hAnsi="Arial" w:cs="Arial"/>
          <w:b w:val="0"/>
          <w:i w:val="0"/>
          <w:strike w:val="0"/>
          <w:color w:val="1D1D1D"/>
        </w:rPr>
        <w:t>Found 13 C.F.R. § 120.520 governs SBA loan purchase after default but does not specify notice requirements to borrower before default declaration</w:t>
      </w:r>
    </w:p>
    <w:p>
      <w:pPr>
        <w:numPr>
          <w:ilvl w:val="0"/>
          <w:numId w:val="34"/>
        </w:numPr>
        <w:rPr>
          <w:b w:val="0"/>
          <w:i w:val="0"/>
          <w:strike w:val="0"/>
        </w:rPr>
      </w:pPr>
      <w:r>
        <w:rPr>
          <w:rFonts w:ascii="Arial" w:eastAsia="Times New Roman" w:hAnsi="Arial" w:cs="Arial"/>
          <w:b w:val="0"/>
          <w:i w:val="0"/>
          <w:strike w:val="0"/>
          <w:color w:val="1D1D1D"/>
        </w:rPr>
        <w:t>Analyzing Third Circuit precedent regarding remedies available to borrowers for defective default notices in SBA loan contexts, including any circuit-specific interpretations of federal SBA regulations</w:t>
      </w:r>
    </w:p>
    <w:p>
      <w:pPr>
        <w:numPr>
          <w:ilvl w:val="1"/>
          <w:numId w:val="34"/>
        </w:numPr>
        <w:rPr>
          <w:b w:val="0"/>
          <w:i w:val="0"/>
          <w:strike w:val="0"/>
        </w:rPr>
      </w:pPr>
      <w:r>
        <w:rPr>
          <w:rFonts w:ascii="Arial" w:eastAsia="Times New Roman" w:hAnsi="Arial" w:cs="Arial"/>
          <w:b w:val="0"/>
          <w:i w:val="0"/>
          <w:strike w:val="0"/>
          <w:color w:val="1D1D1D"/>
        </w:rPr>
        <w:t>Third Circuit case Conboy v. SBA (2021) shows limited remedies for SBA borrowers - unconditional guarantees bar contract claims against SBA, focus is on collection procedures not notice defects</w:t>
      </w:r>
    </w:p>
    <w:p>
      <w:pPr>
        <w:numPr>
          <w:ilvl w:val="0"/>
          <w:numId w:val="34"/>
        </w:numPr>
        <w:rPr>
          <w:b w:val="0"/>
          <w:i w:val="0"/>
          <w:strike w:val="0"/>
        </w:rPr>
      </w:pPr>
      <w:r>
        <w:rPr>
          <w:rFonts w:ascii="Arial" w:eastAsia="Times New Roman" w:hAnsi="Arial" w:cs="Arial"/>
          <w:b w:val="0"/>
          <w:i w:val="0"/>
          <w:strike w:val="0"/>
          <w:color w:val="1D1D1D"/>
        </w:rPr>
        <w:t>Examining New Jersey state law remedies for defective loan default notices, including potential claims under the New Jersey Consumer Fraud Act and common law theories such as breach of contract or negligence</w:t>
      </w:r>
    </w:p>
    <w:p>
      <w:pPr>
        <w:numPr>
          <w:ilvl w:val="1"/>
          <w:numId w:val="34"/>
        </w:numPr>
        <w:rPr>
          <w:b w:val="0"/>
          <w:i w:val="0"/>
          <w:strike w:val="0"/>
        </w:rPr>
      </w:pPr>
      <w:r>
        <w:rPr>
          <w:rFonts w:ascii="Arial" w:eastAsia="Times New Roman" w:hAnsi="Arial" w:cs="Arial"/>
          <w:b w:val="0"/>
          <w:i w:val="0"/>
          <w:strike w:val="0"/>
          <w:color w:val="1D1D1D"/>
        </w:rPr>
        <w:t>New Jersey provides flexible equitable remedies for defective loan notices under Guillaume decision - courts can order corrected notice, reduce fees/costs, or dismiss without prejudice rather than void default</w:t>
      </w:r>
    </w:p>
    <w:p>
      <w:pPr>
        <w:numPr>
          <w:ilvl w:val="0"/>
          <w:numId w:val="34"/>
        </w:numPr>
        <w:rPr>
          <w:b w:val="0"/>
          <w:i w:val="0"/>
          <w:strike w:val="0"/>
        </w:rPr>
      </w:pPr>
      <w:r>
        <w:rPr>
          <w:rFonts w:ascii="Arial" w:eastAsia="Times New Roman" w:hAnsi="Arial" w:cs="Arial"/>
          <w:b w:val="0"/>
          <w:i w:val="0"/>
          <w:strike w:val="0"/>
          <w:color w:val="1D1D1D"/>
        </w:rPr>
        <w:t>Researching federal case law on whether SBA borrowers can obtain reversal of loan defaults based on procedural defects in notice requirements</w:t>
      </w:r>
    </w:p>
    <w:p>
      <w:pPr>
        <w:numPr>
          <w:ilvl w:val="1"/>
          <w:numId w:val="34"/>
        </w:numPr>
        <w:rPr>
          <w:b w:val="0"/>
          <w:i w:val="0"/>
          <w:strike w:val="0"/>
        </w:rPr>
      </w:pPr>
      <w:r>
        <w:rPr>
          <w:rFonts w:ascii="Arial" w:eastAsia="Times New Roman" w:hAnsi="Arial" w:cs="Arial"/>
          <w:b w:val="0"/>
          <w:i w:val="0"/>
          <w:strike w:val="0"/>
          <w:color w:val="1D1D1D"/>
        </w:rPr>
        <w:t>Federal regulations do not provide specific notice requirements to borrowers before default declaration. SBA regulations focus on lender-SBA relationship and purchase procedures. Borrowers have opportunity to cure defaults before SBA purchase but no federal statutory right to reverse defaults based on notice defects</w:t>
      </w:r>
    </w:p>
    <w:p>
      <w:pPr>
        <w:numPr>
          <w:ilvl w:val="0"/>
          <w:numId w:val="34"/>
        </w:numPr>
        <w:rPr>
          <w:b w:val="0"/>
          <w:i w:val="0"/>
          <w:strike w:val="0"/>
        </w:rPr>
      </w:pPr>
      <w:r>
        <w:rPr>
          <w:rFonts w:ascii="Arial" w:eastAsia="Times New Roman" w:hAnsi="Arial" w:cs="Arial"/>
          <w:b w:val="0"/>
          <w:i w:val="0"/>
          <w:strike w:val="0"/>
          <w:color w:val="1D1D1D"/>
        </w:rPr>
        <w:t>Investigating availability of collection fee waivers as a remedy for defective SBA loan default notices under federal regulations and Third Circuit precedent</w:t>
      </w:r>
    </w:p>
    <w:p>
      <w:pPr>
        <w:numPr>
          <w:ilvl w:val="1"/>
          <w:numId w:val="34"/>
        </w:numPr>
        <w:rPr>
          <w:b w:val="0"/>
          <w:i w:val="0"/>
          <w:strike w:val="0"/>
        </w:rPr>
      </w:pPr>
      <w:r>
        <w:rPr>
          <w:rFonts w:ascii="Arial" w:eastAsia="Times New Roman" w:hAnsi="Arial" w:cs="Arial"/>
          <w:b w:val="0"/>
          <w:i w:val="0"/>
          <w:strike w:val="0"/>
          <w:color w:val="1D1D1D"/>
        </w:rPr>
        <w:t>SBA regulations allow collection fee waivers only at SBA's discretion during purchase process. No automatic waiver for notice defects. Third Circuit shows limited borrower remedies against SBA due to unconditional guarantees. Collection fees may be challenged under state law contract theories</w:t>
      </w:r>
    </w:p>
    <w:p>
      <w:pPr>
        <w:numPr>
          <w:ilvl w:val="0"/>
          <w:numId w:val="34"/>
        </w:numPr>
        <w:rPr>
          <w:b w:val="0"/>
          <w:i w:val="0"/>
          <w:strike w:val="0"/>
        </w:rPr>
      </w:pPr>
      <w:r>
        <w:rPr>
          <w:rFonts w:ascii="Arial" w:eastAsia="Times New Roman" w:hAnsi="Arial" w:cs="Arial"/>
          <w:b w:val="0"/>
          <w:i w:val="0"/>
          <w:strike w:val="0"/>
          <w:color w:val="1D1D1D"/>
        </w:rPr>
        <w:t>Analyzing New Jersey state court decisions addressing remedies for defective loan default notices and their potential application to SBA loans</w:t>
      </w:r>
    </w:p>
    <w:p>
      <w:pPr>
        <w:numPr>
          <w:ilvl w:val="1"/>
          <w:numId w:val="34"/>
        </w:numPr>
        <w:rPr>
          <w:b w:val="0"/>
          <w:i w:val="0"/>
          <w:strike w:val="0"/>
        </w:rPr>
      </w:pPr>
      <w:r>
        <w:rPr>
          <w:rFonts w:ascii="Arial" w:eastAsia="Times New Roman" w:hAnsi="Arial" w:cs="Arial"/>
          <w:b w:val="0"/>
          <w:i w:val="0"/>
          <w:strike w:val="0"/>
          <w:color w:val="1D1D1D"/>
        </w:rPr>
        <w:t>Guillaume establishes NJ courts have broad discretion to fashion remedies including fee reduction for defective notices, but this was mortgage foreclosure context not SBA loans specifically</w:t>
        <w:br/>
      </w:r>
    </w:p>
    <w:p w:rsidR="00266DD2" w:rsidP="00266DD2" w14:paraId="7D0BA273" w14:textId="0D6FC439">
      <w:pPr>
        <w:pStyle w:val="Report-Body"/>
        <w:rPr>
          <w:rFonts w:asciiTheme="minorHAnsi" w:eastAsiaTheme="minorHAnsi" w:hAnsiTheme="minorHAnsi" w:cstheme="minorBidi"/>
          <w:color w:val="auto"/>
          <w:kern w:val="2"/>
          <w:szCs w:val="24"/>
          <w14:ligatures w14:val="standardContextual"/>
        </w:rPr>
      </w:pPr>
      <w:r>
        <w:br/>
      </w: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244475</wp:posOffset>
                </wp:positionV>
                <wp:extent cx="5905500" cy="0"/>
                <wp:effectExtent l="0" t="12700" r="12700" b="12700"/>
                <wp:wrapNone/>
                <wp:docPr id="708621368"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37" style="mso-wrap-distance-bottom:0;mso-wrap-distance-left:9pt;mso-wrap-distance-right:9pt;mso-wrap-distance-top:0;mso-wrap-style:square;position:absolute;visibility:visible;z-index:251663360" from="0,19.25pt" to="465pt,19.25pt" strokecolor="black" strokeweight="1.5pt">
                <v:stroke joinstyle="miter"/>
              </v:line>
            </w:pict>
          </mc:Fallback>
        </mc:AlternateContent>
      </w: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hAnsi="Arial" w:cs="Arial"/>
          <w:b w:val="0"/>
          <w:i w:val="0"/>
          <w:strike w:val="0"/>
          <w:color w:val="000000"/>
          <w:sz w:val="36"/>
        </w:rPr>
        <w:t>Questions for further research</w:t>
        <w:br/>
      </w:r>
    </w:p>
    <w:p>
      <w:pPr>
        <w:numPr>
          <w:ilvl w:val="0"/>
          <w:numId w:val="33"/>
        </w:numPr>
        <w:rPr>
          <w:b w:val="0"/>
          <w:i w:val="0"/>
          <w:strike w:val="0"/>
        </w:rPr>
      </w:pPr>
      <w:r>
        <w:rPr>
          <w:rFonts w:ascii="Arial" w:hAnsi="Arial" w:cs="Arial"/>
          <w:b/>
          <w:i w:val="0"/>
          <w:strike w:val="0"/>
          <w:color w:val="1D1D1D"/>
        </w:rPr>
        <w:t>What specific defects existed in the notice you received (missing information, incorrect contact details, wrong timeline, etc.)?</w:t>
      </w:r>
    </w:p>
    <w:p>
      <w:pPr>
        <w:numPr>
          <w:ilvl w:val="0"/>
          <w:numId w:val="33"/>
        </w:numPr>
        <w:rPr>
          <w:b w:val="0"/>
          <w:i w:val="0"/>
          <w:strike w:val="0"/>
        </w:rPr>
      </w:pPr>
      <w:r>
        <w:rPr>
          <w:rFonts w:ascii="Arial" w:hAnsi="Arial" w:cs="Arial"/>
          <w:b/>
          <w:i w:val="0"/>
          <w:strike w:val="0"/>
          <w:color w:val="1D1D1D"/>
        </w:rPr>
        <w:t>What type of SBA loan is involved (7(a) loan, 504 loan, microloan, etc.) and what are the specific notice requirements in your loan agreement?</w:t>
      </w:r>
    </w:p>
    <w:p>
      <w:pPr>
        <w:numPr>
          <w:ilvl w:val="0"/>
          <w:numId w:val="33"/>
        </w:numPr>
        <w:rPr>
          <w:b w:val="0"/>
          <w:i w:val="0"/>
          <w:strike w:val="0"/>
        </w:rPr>
      </w:pPr>
      <w:r>
        <w:rPr>
          <w:rFonts w:ascii="Arial" w:hAnsi="Arial" w:cs="Arial"/>
          <w:b/>
          <w:i w:val="0"/>
          <w:strike w:val="0"/>
          <w:color w:val="1D1D1D"/>
        </w:rPr>
        <w:t>How much time elapsed between when you received the defective notice and when the lender declared the loan in default?</w:t>
      </w:r>
    </w:p>
    <w:p>
      <w:pPr>
        <w:numPr>
          <w:ilvl w:val="0"/>
          <w:numId w:val="33"/>
        </w:numPr>
        <w:rPr>
          <w:b w:val="0"/>
          <w:i w:val="0"/>
          <w:strike w:val="0"/>
        </w:rPr>
      </w:pPr>
      <w:r>
        <w:rPr>
          <w:rFonts w:ascii="Arial" w:hAnsi="Arial" w:cs="Arial"/>
          <w:b/>
          <w:i w:val="0"/>
          <w:strike w:val="0"/>
          <w:color w:val="1D1D1D"/>
        </w:rPr>
        <w:t>Do you have documentation showing what collection fees and costs the lender is seeking to impose following the default declaration?</w:t>
      </w:r>
    </w:p>
    <w:p>
      <w:pPr>
        <w:numPr>
          <w:ilvl w:val="0"/>
          <w:numId w:val="33"/>
        </w:numPr>
        <w:rPr>
          <w:b w:val="0"/>
          <w:i w:val="0"/>
          <w:strike w:val="0"/>
        </w:rPr>
      </w:pPr>
      <w:r>
        <w:rPr>
          <w:rFonts w:ascii="Arial" w:hAnsi="Arial" w:cs="Arial"/>
          <w:b/>
          <w:i w:val="0"/>
          <w:strike w:val="0"/>
          <w:color w:val="1D1D1D"/>
        </w:rPr>
        <w:t>Did you attempt to cure the default after receiving the notice, and if so, what was the lender's response to your cure efforts?</w:t>
      </w:r>
      <w:r>
        <w:rPr>
          <w:rFonts w:ascii="Arial" w:hAnsi="Arial" w:cs="Arial"/>
          <w:b w:val="0"/>
          <w:i w:val="0"/>
          <w:strike w:val="0"/>
          <w:color w:val="1D1D1D"/>
        </w:rPr>
        <w:br/>
        <w:br/>
      </w:r>
    </w:p>
    <w:p w:rsidR="00266DD2" w:rsidP="00266DD2" w14:paraId="1EC8BF0B" w14:textId="77777777">
      <w:pPr>
        <w:pStyle w:val="Report-Body"/>
        <w:rPr>
          <w:rFonts w:eastAsiaTheme="minorHAnsi"/>
        </w:rPr>
      </w:pPr>
      <w:r w:rsidRPr="007A4513">
        <w:rPr>
          <w:rFonts w:eastAsiaTheme="minorHAnsi"/>
        </w:rPr>
        <w:t xml:space="preserve"> </w:t>
      </w:r>
    </w:p>
    <w:p w:rsidR="00F3378D" w:rsidRPr="000E6B43" w:rsidP="00CD7BBC" w14:paraId="7B361FDD" w14:textId="1EF80FA4">
      <w:pPr>
        <w:pStyle w:val="Report-Body"/>
      </w:pPr>
    </w:p>
    <w:p w:rsidR="007E5AC0" w:rsidRPr="00A610D3" w:rsidP="00A610D3" w14:paraId="77A3323A" w14:textId="77777777"/>
    <w:sectPr w:rsidSect="00B62FF8">
      <w:headerReference w:type="default" r:id="rId20"/>
      <w:footerReference w:type="even" r:id="rId21"/>
      <w:footerReference w:type="default" r:id="rId22"/>
      <w:pgSz w:w="12240" w:h="15840"/>
      <w:pgMar w:top="1440" w:right="1440" w:bottom="1440" w:left="1440" w:header="737"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P="0071770E" w14:paraId="7161748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1770E" w:rsidRPr="00CA3A86" w:rsidP="00266D65" w14:paraId="0BA2D906" w14:textId="77501D8E">
    <w:pPr>
      <w:pStyle w:val="Footer"/>
      <w:rPr>
        <w:rStyle w:val="PageNumber"/>
        <w:rFonts w:ascii="Arial" w:hAnsi="Arial" w:cs="Arial"/>
        <w:sz w:val="18"/>
        <w:szCs w:val="18"/>
      </w:rPr>
    </w:pPr>
  </w:p>
  <w:p w:rsidR="00266D65" w:rsidRPr="00CA3A86" w:rsidP="004A573A" w14:paraId="76D473BF" w14:textId="56E8A3DF">
    <w:pPr>
      <w:pStyle w:val="Footer"/>
      <w:rPr>
        <w:rStyle w:val="PageNumber"/>
        <w:rFonts w:ascii="Arial" w:hAnsi="Arial" w:cs="Arial"/>
        <w:sz w:val="18"/>
        <w:szCs w:val="18"/>
      </w:rPr>
    </w:pPr>
    <w:r w:rsidRPr="00CA3A86">
      <w:rPr>
        <w:rFonts w:ascii="Arial" w:hAnsi="Arial" w:cs="Arial"/>
        <w:noProof/>
        <w:sz w:val="18"/>
        <w:szCs w:val="18"/>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-92710</wp:posOffset>
              </wp:positionV>
              <wp:extent cx="5933440" cy="2918"/>
              <wp:effectExtent l="0" t="12700" r="22860" b="22860"/>
              <wp:wrapNone/>
              <wp:docPr id="209175415" name="Straight Connector 23"/>
              <wp:cNvGraphicFramePr/>
              <a:graphic xmlns:a="http://schemas.openxmlformats.org/drawingml/2006/main">
                <a:graphicData uri="http://schemas.microsoft.com/office/word/2010/wordprocessingShape">
                  <wps:wsp xmlns:wps="http://schemas.microsoft.com/office/word/2010/wordprocessingShape">
                    <wps:cNvCnPr/>
                    <wps:spPr>
                      <a:xfrm flipV="1">
                        <a:off x="0" y="0"/>
                        <a:ext cx="5933440" cy="2918"/>
                      </a:xfrm>
                      <a:prstGeom prst="line">
                        <a:avLst/>
                      </a:prstGeom>
                      <a:ln>
                        <a:solidFill>
                          <a:schemeClr val="bg2">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2049" style="flip:y;mso-height-percent:0;mso-height-relative:margin;mso-width-percent:0;mso-width-relative:margin;mso-wrap-distance-bottom:0;mso-wrap-distance-left:9pt;mso-wrap-distance-right:9pt;mso-wrap-distance-top:0;mso-wrap-style:square;position:absolute;visibility:visible;z-index:251659264" from="0,-7.3pt" to="467.2pt,-7.05pt" strokecolor="#737373" strokeweight="1.5pt">
              <v:stroke joinstyle="miter"/>
            </v:line>
          </w:pict>
        </mc:Fallback>
      </mc:AlternateContent>
    </w:r>
    <w:r w:rsidRPr="00CA3A86" w:rsidR="002233E3">
      <w:rPr>
        <w:rFonts w:ascii="Arial" w:hAnsi="Arial" w:cs="Arial"/>
        <w:sz w:val="18"/>
        <w:szCs w:val="18"/>
      </w:rPr>
      <w:t xml:space="preserve"> </w:t>
    </w:r>
    <w:r>
      <w:rPr>
        <w:rFonts w:ascii="Arial" w:hAnsi="Arial" w:cs="Arial"/>
        <w:b w:val="0"/>
        <w:i w:val="0"/>
        <w:strike w:val="0"/>
        <w:sz w:val="18"/>
      </w:rPr>
      <w:t>Westlaw Advantage</w:t>
    </w:r>
    <w:r w:rsidRPr="00CA3A86" w:rsidR="002233E3">
      <w:rPr>
        <w:rFonts w:ascii="Arial" w:hAnsi="Arial" w:cs="Arial"/>
        <w:sz w:val="18"/>
        <w:szCs w:val="18"/>
      </w:rPr>
      <w:t xml:space="preserve">. © </w:t>
    </w:r>
    <w:r>
      <w:rPr>
        <w:rFonts w:ascii="Arial" w:hAnsi="Arial" w:cs="Arial"/>
        <w:b w:val="0"/>
        <w:i w:val="0"/>
        <w:strike w:val="0"/>
        <w:sz w:val="18"/>
      </w:rPr>
      <w:t>2026</w:t>
    </w:r>
    <w:r w:rsidRPr="00CA3A86" w:rsidR="002233E3">
      <w:rPr>
        <w:rFonts w:ascii="Arial" w:hAnsi="Arial" w:cs="Arial"/>
        <w:sz w:val="18"/>
        <w:szCs w:val="18"/>
      </w:rPr>
      <w:t xml:space="preserve"> Thomson Reuters. No claim to original U.S. Government Works.</w:t>
    </w:r>
    <w:r w:rsidR="004A573A">
      <w:rPr>
        <w:rFonts w:ascii="Arial" w:hAnsi="Arial" w:cs="Arial"/>
        <w:sz w:val="18"/>
        <w:szCs w:val="18"/>
      </w:rPr>
      <w:tab/>
    </w:r>
    <w:r w:rsidRPr="004A573A" w:rsidR="004A573A">
      <w:rPr>
        <w:rFonts w:ascii="Arial" w:hAnsi="Arial" w:cs="Arial"/>
        <w:sz w:val="18"/>
        <w:szCs w:val="18"/>
      </w:rPr>
      <w:fldChar w:fldCharType="begin"/>
    </w:r>
    <w:r w:rsidRPr="004A573A" w:rsidR="004A573A">
      <w:rPr>
        <w:rFonts w:ascii="Arial" w:hAnsi="Arial" w:cs="Arial"/>
        <w:sz w:val="18"/>
        <w:szCs w:val="18"/>
      </w:rPr>
      <w:instrText xml:space="preserve"> PAGE   \* MERGEFORMAT </w:instrText>
    </w:r>
    <w:r w:rsidRPr="004A573A" w:rsidR="004A573A">
      <w:rPr>
        <w:rFonts w:ascii="Arial" w:hAnsi="Arial" w:cs="Arial"/>
        <w:sz w:val="18"/>
        <w:szCs w:val="18"/>
      </w:rPr>
      <w:fldChar w:fldCharType="separate"/>
    </w:r>
    <w:r w:rsidRPr="004A573A" w:rsidR="004A573A">
      <w:rPr>
        <w:rFonts w:ascii="Arial" w:hAnsi="Arial" w:cs="Arial"/>
        <w:noProof/>
        <w:sz w:val="18"/>
        <w:szCs w:val="18"/>
      </w:rPr>
      <w:t>15</w:t>
    </w:r>
    <w:r w:rsidRPr="004A573A" w:rsidR="004A573A">
      <w:rPr>
        <w:rFonts w:ascii="Arial" w:hAnsi="Arial" w:cs="Arial"/>
        <w:noProof/>
        <w:sz w:val="18"/>
        <w:szCs w:val="18"/>
      </w:rPr>
      <w:fldChar w:fldCharType="end"/>
    </w:r>
  </w:p>
  <w:p w:rsidR="00FB3768" w:rsidRPr="00CA3A86" w:rsidP="00266D65" w14:paraId="6F178050" w14:textId="4F694DA3">
    <w:pPr>
      <w:pStyle w:val="Footer"/>
      <w:rPr>
        <w:rFonts w:ascii="Arial" w:hAnsi="Arial" w:cs="Arial"/>
        <w:sz w:val="18"/>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RPr="00CA3A86" w:rsidP="00266D65" w14:paraId="468BA717" w14:textId="1009282B">
    <w:pPr>
      <w:pStyle w:val="Header"/>
      <w:rPr>
        <w:rFonts w:ascii="Arial" w:hAnsi="Arial" w:cs="Arial"/>
        <w:sz w:val="18"/>
        <w:szCs w:val="18"/>
      </w:rPr>
    </w:pPr>
    <w:r>
      <w:rPr>
        <w:rFonts w:ascii="Arial" w:hAnsi="Arial" w:cs="Arial"/>
        <w:b/>
        <w:i w:val="0"/>
        <w:strike w:val="0"/>
        <w:sz w:val="18"/>
      </w:rPr>
      <w:t>Westlaw AI Deep Research</w:t>
    </w:r>
    <w:r w:rsidRPr="00CA3A86" w:rsidR="00266D65">
      <w:rPr>
        <w:rFonts w:ascii="Arial" w:hAnsi="Arial" w:cs="Arial"/>
        <w:sz w:val="18"/>
        <w:szCs w:val="18"/>
      </w:rPr>
      <w:t xml:space="preserve">   •   Response generated: </w:t>
    </w:r>
    <w:r>
      <w:rPr>
        <w:rFonts w:ascii="Arial" w:hAnsi="Arial" w:cs="Arial"/>
        <w:b w:val="0"/>
        <w:i w:val="0"/>
        <w:strike w:val="0"/>
        <w:sz w:val="18"/>
      </w:rPr>
      <w:t>February 9, 2026</w:t>
    </w:r>
    <w:r w:rsidRPr="00CA3A86" w:rsidR="00266D65">
      <w:rPr>
        <w:rFonts w:ascii="Arial" w:hAnsi="Arial" w:cs="Arial"/>
        <w:sz w:val="18"/>
        <w:szCs w:val="18"/>
      </w:rPr>
      <w:t xml:space="preserve"> at </w:t>
    </w:r>
    <w:r>
      <w:rPr>
        <w:rFonts w:ascii="Arial" w:hAnsi="Arial" w:cs="Arial"/>
        <w:b w:val="0"/>
        <w:i w:val="0"/>
        <w:strike w:val="0"/>
        <w:sz w:val="18"/>
      </w:rPr>
      <w:t>8:04 p.m. UTC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4457E2A"/>
    <w:multiLevelType w:val="multilevel"/>
    <w:tmpl w:val="E672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755EC0"/>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6CD0400"/>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6FC1E9C"/>
    <w:multiLevelType w:val="multilevel"/>
    <w:tmpl w:val="F39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0739E5"/>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538483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A94677A"/>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B81534D"/>
    <w:multiLevelType w:val="hybridMultilevel"/>
    <w:tmpl w:val="0D8060D0"/>
    <w:lvl w:ilvl="0">
      <w:start w:val="1"/>
      <w:numFmt w:val="bullet"/>
      <w:lvlText w:val="ü"/>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
    <w:nsid w:val="27F06589"/>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EA47815"/>
    <w:multiLevelType w:val="hybridMultilevel"/>
    <w:tmpl w:val="5DAE70DC"/>
    <w:lvl w:ilvl="0">
      <w:start w:val="3"/>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9424FA7"/>
    <w:multiLevelType w:val="hybridMultilevel"/>
    <w:tmpl w:val="658645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AF80D86"/>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CA00D8C"/>
    <w:multiLevelType w:val="multilevel"/>
    <w:tmpl w:val="D51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1867403"/>
    <w:multiLevelType w:val="hybridMultilevel"/>
    <w:tmpl w:val="A5182E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CA0583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4F374317"/>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1BE2E9D"/>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546622C0"/>
    <w:multiLevelType w:val="multilevel"/>
    <w:tmpl w:val="9D2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48A7882"/>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5496378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56A954C8"/>
    <w:multiLevelType w:val="hybridMultilevel"/>
    <w:tmpl w:val="D82A71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7B21FE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9FE2C15"/>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33C3930"/>
    <w:multiLevelType w:val="hybridMultilevel"/>
    <w:tmpl w:val="7BF4ABD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7F571E3"/>
    <w:multiLevelType w:val="multilevel"/>
    <w:tmpl w:val="6EDC73E6"/>
    <w:numStyleLink w:val="ResearchSteps"/>
  </w:abstractNum>
  <w:abstractNum w:abstractNumId="26">
    <w:nsid w:val="68C7770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6B224267"/>
    <w:multiLevelType w:val="multilevel"/>
    <w:tmpl w:val="6EDC73E6"/>
    <w:styleLink w:val="ResearchSteps"/>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
    <w:nsid w:val="6B2B218C"/>
    <w:multiLevelType w:val="hybridMultilevel"/>
    <w:tmpl w:val="D6AC1E7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3A12D01"/>
    <w:multiLevelType w:val="multilevel"/>
    <w:tmpl w:val="904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9BF6B44"/>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7C5654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C5654BB"/>
    <w:multiLevelType w:val="multilevel"/>
    <w:tmpl w:val="7C5654B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C5654BC"/>
    <w:multiLevelType w:val="hybridMultilevel"/>
    <w:tmpl w:val="7C5654BC"/>
    <w:lvl w:ilvl="0">
      <w:start w:val="1"/>
      <w:numFmt w:val="bullet"/>
      <w:lvlText w:val="✓"/>
      <w:lvlJc w:val="left"/>
      <w:pPr>
        <w:tabs>
          <w:tab w:val="num" w:pos="720"/>
        </w:tabs>
        <w:ind w:left="720" w:hanging="360"/>
      </w:pPr>
      <w:rPr>
        <w:rFonts w:ascii="Segoe UI Symbol" w:eastAsia="Segoe UI Symbol" w:hAnsi="Segoe UI Symbol" w:cs="Segoe UI Symbol"/>
      </w:rPr>
    </w:lvl>
    <w:lvl w:ilvl="1">
      <w:start w:val="1"/>
      <w:numFmt w:val="bullet"/>
      <w:lvlText w:val="o"/>
      <w:lvlJc w:val="left"/>
      <w:pPr>
        <w:tabs>
          <w:tab w:val="num" w:pos="1440"/>
        </w:tabs>
        <w:ind w:left="1440" w:hanging="360"/>
      </w:pPr>
      <w:rPr>
        <w:rFonts w:ascii="Symbol" w:eastAsia="Symbol" w:hAnsi="Symbol" w:cs="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77177892">
    <w:abstractNumId w:val="24"/>
  </w:num>
  <w:num w:numId="2" w16cid:durableId="882862179">
    <w:abstractNumId w:val="28"/>
  </w:num>
  <w:num w:numId="3" w16cid:durableId="1125149909">
    <w:abstractNumId w:val="1"/>
  </w:num>
  <w:num w:numId="4" w16cid:durableId="979194767">
    <w:abstractNumId w:val="21"/>
  </w:num>
  <w:num w:numId="5" w16cid:durableId="1135949211">
    <w:abstractNumId w:val="10"/>
  </w:num>
  <w:num w:numId="6" w16cid:durableId="987049796">
    <w:abstractNumId w:val="29"/>
  </w:num>
  <w:num w:numId="7" w16cid:durableId="2099935921">
    <w:abstractNumId w:val="4"/>
  </w:num>
  <w:num w:numId="8" w16cid:durableId="1390878430">
    <w:abstractNumId w:val="13"/>
  </w:num>
  <w:num w:numId="9" w16cid:durableId="165680804">
    <w:abstractNumId w:val="18"/>
  </w:num>
  <w:num w:numId="10" w16cid:durableId="1445539250">
    <w:abstractNumId w:val="26"/>
  </w:num>
  <w:num w:numId="11" w16cid:durableId="18943456">
    <w:abstractNumId w:val="12"/>
  </w:num>
  <w:num w:numId="12" w16cid:durableId="1446853127">
    <w:abstractNumId w:val="5"/>
  </w:num>
  <w:num w:numId="13" w16cid:durableId="452557828">
    <w:abstractNumId w:val="3"/>
  </w:num>
  <w:num w:numId="14" w16cid:durableId="222717049">
    <w:abstractNumId w:val="16"/>
  </w:num>
  <w:num w:numId="15" w16cid:durableId="1727685844">
    <w:abstractNumId w:val="19"/>
  </w:num>
  <w:num w:numId="16" w16cid:durableId="163128153">
    <w:abstractNumId w:val="7"/>
  </w:num>
  <w:num w:numId="17" w16cid:durableId="1113554303">
    <w:abstractNumId w:val="2"/>
  </w:num>
  <w:num w:numId="18" w16cid:durableId="1326473564">
    <w:abstractNumId w:val="23"/>
  </w:num>
  <w:num w:numId="19" w16cid:durableId="1981617171">
    <w:abstractNumId w:val="17"/>
  </w:num>
  <w:num w:numId="20" w16cid:durableId="74523104">
    <w:abstractNumId w:val="9"/>
  </w:num>
  <w:num w:numId="21" w16cid:durableId="1700811561">
    <w:abstractNumId w:val="6"/>
  </w:num>
  <w:num w:numId="22" w16cid:durableId="143855414">
    <w:abstractNumId w:val="15"/>
  </w:num>
  <w:num w:numId="23" w16cid:durableId="1498886866">
    <w:abstractNumId w:val="14"/>
  </w:num>
  <w:num w:numId="24" w16cid:durableId="1664772259">
    <w:abstractNumId w:val="30"/>
  </w:num>
  <w:num w:numId="25" w16cid:durableId="2100127906">
    <w:abstractNumId w:val="20"/>
  </w:num>
  <w:num w:numId="26" w16cid:durableId="1657878376">
    <w:abstractNumId w:val="22"/>
  </w:num>
  <w:num w:numId="27" w16cid:durableId="2117557087">
    <w:abstractNumId w:val="8"/>
  </w:num>
  <w:num w:numId="28" w16cid:durableId="69548974">
    <w:abstractNumId w:val="11"/>
  </w:num>
  <w:num w:numId="29" w16cid:durableId="875699361">
    <w:abstractNumId w:val="27"/>
  </w:num>
  <w:num w:numId="30" w16cid:durableId="129247603">
    <w:abstractNumId w:val="25"/>
  </w:num>
  <w:num w:numId="31" w16cid:durableId="935821104">
    <w:abstractNumId w:val="31"/>
  </w:num>
  <w:num w:numId="32">
    <w:abstractNumId w:val="0"/>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00"/>
    <w:rsid w:val="00002537"/>
    <w:rsid w:val="000070A9"/>
    <w:rsid w:val="00010434"/>
    <w:rsid w:val="00011EB0"/>
    <w:rsid w:val="00020FD1"/>
    <w:rsid w:val="00027A36"/>
    <w:rsid w:val="0003200D"/>
    <w:rsid w:val="00032904"/>
    <w:rsid w:val="000513CE"/>
    <w:rsid w:val="00054AE9"/>
    <w:rsid w:val="00075FC5"/>
    <w:rsid w:val="000815E7"/>
    <w:rsid w:val="000853EB"/>
    <w:rsid w:val="000911FB"/>
    <w:rsid w:val="000970CD"/>
    <w:rsid w:val="000A169D"/>
    <w:rsid w:val="000A62DD"/>
    <w:rsid w:val="000B21FD"/>
    <w:rsid w:val="000B25DA"/>
    <w:rsid w:val="000C1760"/>
    <w:rsid w:val="000C4CC4"/>
    <w:rsid w:val="000C6E54"/>
    <w:rsid w:val="000D328E"/>
    <w:rsid w:val="000E1AFB"/>
    <w:rsid w:val="000E4BB0"/>
    <w:rsid w:val="000E6B43"/>
    <w:rsid w:val="000E75C6"/>
    <w:rsid w:val="000F118B"/>
    <w:rsid w:val="000F3725"/>
    <w:rsid w:val="000F5454"/>
    <w:rsid w:val="000F6139"/>
    <w:rsid w:val="001075B4"/>
    <w:rsid w:val="00112DD4"/>
    <w:rsid w:val="001234D5"/>
    <w:rsid w:val="00126860"/>
    <w:rsid w:val="0013440D"/>
    <w:rsid w:val="00145CEA"/>
    <w:rsid w:val="00153A96"/>
    <w:rsid w:val="00156E45"/>
    <w:rsid w:val="00163EF0"/>
    <w:rsid w:val="0017070C"/>
    <w:rsid w:val="00173CCD"/>
    <w:rsid w:val="001769B3"/>
    <w:rsid w:val="00176FD6"/>
    <w:rsid w:val="00177C2A"/>
    <w:rsid w:val="001947AC"/>
    <w:rsid w:val="00194FAC"/>
    <w:rsid w:val="0019606A"/>
    <w:rsid w:val="001B15B9"/>
    <w:rsid w:val="001B47B6"/>
    <w:rsid w:val="001B4E7F"/>
    <w:rsid w:val="001B6E29"/>
    <w:rsid w:val="001C2E92"/>
    <w:rsid w:val="001C78E3"/>
    <w:rsid w:val="001D4275"/>
    <w:rsid w:val="001E1C60"/>
    <w:rsid w:val="001E54C9"/>
    <w:rsid w:val="001F4EF1"/>
    <w:rsid w:val="001F75F3"/>
    <w:rsid w:val="00201287"/>
    <w:rsid w:val="0021105E"/>
    <w:rsid w:val="00214220"/>
    <w:rsid w:val="002233E3"/>
    <w:rsid w:val="0023187D"/>
    <w:rsid w:val="00233591"/>
    <w:rsid w:val="0024315F"/>
    <w:rsid w:val="0024664F"/>
    <w:rsid w:val="00246C76"/>
    <w:rsid w:val="00251AC1"/>
    <w:rsid w:val="002534E6"/>
    <w:rsid w:val="00266D65"/>
    <w:rsid w:val="00266DD2"/>
    <w:rsid w:val="002670BD"/>
    <w:rsid w:val="0029350B"/>
    <w:rsid w:val="002A5285"/>
    <w:rsid w:val="002A766F"/>
    <w:rsid w:val="002C0255"/>
    <w:rsid w:val="002C7F2B"/>
    <w:rsid w:val="002D3F75"/>
    <w:rsid w:val="002D7F22"/>
    <w:rsid w:val="002E1212"/>
    <w:rsid w:val="002E4A9D"/>
    <w:rsid w:val="002F1427"/>
    <w:rsid w:val="00301D69"/>
    <w:rsid w:val="00317081"/>
    <w:rsid w:val="00320DBE"/>
    <w:rsid w:val="00321BFC"/>
    <w:rsid w:val="003359E4"/>
    <w:rsid w:val="003436F8"/>
    <w:rsid w:val="00354317"/>
    <w:rsid w:val="00371915"/>
    <w:rsid w:val="00371BA2"/>
    <w:rsid w:val="00372153"/>
    <w:rsid w:val="00396112"/>
    <w:rsid w:val="003A7A8B"/>
    <w:rsid w:val="003B2CBE"/>
    <w:rsid w:val="003B358F"/>
    <w:rsid w:val="003B55C8"/>
    <w:rsid w:val="003B7B49"/>
    <w:rsid w:val="003C097A"/>
    <w:rsid w:val="003D1130"/>
    <w:rsid w:val="003E2334"/>
    <w:rsid w:val="003E4AE8"/>
    <w:rsid w:val="00401DC8"/>
    <w:rsid w:val="00402EC7"/>
    <w:rsid w:val="0040472B"/>
    <w:rsid w:val="004134E9"/>
    <w:rsid w:val="00414E6F"/>
    <w:rsid w:val="00417ED9"/>
    <w:rsid w:val="00425CE9"/>
    <w:rsid w:val="0045055B"/>
    <w:rsid w:val="004520E7"/>
    <w:rsid w:val="00455FEB"/>
    <w:rsid w:val="00461E05"/>
    <w:rsid w:val="00465A85"/>
    <w:rsid w:val="00477459"/>
    <w:rsid w:val="00481DDD"/>
    <w:rsid w:val="00486837"/>
    <w:rsid w:val="00490A5F"/>
    <w:rsid w:val="00495A96"/>
    <w:rsid w:val="004A32B0"/>
    <w:rsid w:val="004A573A"/>
    <w:rsid w:val="004C3FCB"/>
    <w:rsid w:val="004C4F25"/>
    <w:rsid w:val="004C766E"/>
    <w:rsid w:val="004D7C28"/>
    <w:rsid w:val="004F1C3B"/>
    <w:rsid w:val="00505C4B"/>
    <w:rsid w:val="00510591"/>
    <w:rsid w:val="00516B3F"/>
    <w:rsid w:val="00520D11"/>
    <w:rsid w:val="005218D7"/>
    <w:rsid w:val="00522045"/>
    <w:rsid w:val="00522D43"/>
    <w:rsid w:val="005305F0"/>
    <w:rsid w:val="0053299B"/>
    <w:rsid w:val="00550EC5"/>
    <w:rsid w:val="0056376F"/>
    <w:rsid w:val="00566A4A"/>
    <w:rsid w:val="00566AEF"/>
    <w:rsid w:val="005A2527"/>
    <w:rsid w:val="005A7107"/>
    <w:rsid w:val="005A7294"/>
    <w:rsid w:val="005B55F6"/>
    <w:rsid w:val="005C2054"/>
    <w:rsid w:val="005E0E32"/>
    <w:rsid w:val="005E1943"/>
    <w:rsid w:val="005E336A"/>
    <w:rsid w:val="005F0D8F"/>
    <w:rsid w:val="005F433F"/>
    <w:rsid w:val="005F4583"/>
    <w:rsid w:val="005F680A"/>
    <w:rsid w:val="00602A33"/>
    <w:rsid w:val="006043CD"/>
    <w:rsid w:val="00604653"/>
    <w:rsid w:val="006166D3"/>
    <w:rsid w:val="00620344"/>
    <w:rsid w:val="00624B2F"/>
    <w:rsid w:val="00625DAA"/>
    <w:rsid w:val="0062617A"/>
    <w:rsid w:val="00626885"/>
    <w:rsid w:val="00637A25"/>
    <w:rsid w:val="0065092C"/>
    <w:rsid w:val="0065351A"/>
    <w:rsid w:val="00657A79"/>
    <w:rsid w:val="00670061"/>
    <w:rsid w:val="00672A7D"/>
    <w:rsid w:val="0067605D"/>
    <w:rsid w:val="0068486E"/>
    <w:rsid w:val="00693CF8"/>
    <w:rsid w:val="00693D65"/>
    <w:rsid w:val="00694F25"/>
    <w:rsid w:val="006A15A1"/>
    <w:rsid w:val="006A1D03"/>
    <w:rsid w:val="006B1152"/>
    <w:rsid w:val="006B7F9C"/>
    <w:rsid w:val="006C1131"/>
    <w:rsid w:val="006C18AF"/>
    <w:rsid w:val="006D141A"/>
    <w:rsid w:val="006D482B"/>
    <w:rsid w:val="006E653C"/>
    <w:rsid w:val="006E7112"/>
    <w:rsid w:val="006E7F0F"/>
    <w:rsid w:val="006F12B9"/>
    <w:rsid w:val="006F6834"/>
    <w:rsid w:val="007118BA"/>
    <w:rsid w:val="00713078"/>
    <w:rsid w:val="00714E6B"/>
    <w:rsid w:val="0071770E"/>
    <w:rsid w:val="0072447E"/>
    <w:rsid w:val="00732345"/>
    <w:rsid w:val="007350C4"/>
    <w:rsid w:val="00741BD8"/>
    <w:rsid w:val="007516D9"/>
    <w:rsid w:val="00755159"/>
    <w:rsid w:val="00755B14"/>
    <w:rsid w:val="00756906"/>
    <w:rsid w:val="0076021E"/>
    <w:rsid w:val="00764A43"/>
    <w:rsid w:val="00764BF7"/>
    <w:rsid w:val="00774FDA"/>
    <w:rsid w:val="00780BA6"/>
    <w:rsid w:val="00782B00"/>
    <w:rsid w:val="00787E9B"/>
    <w:rsid w:val="00792125"/>
    <w:rsid w:val="00794C0D"/>
    <w:rsid w:val="0079657F"/>
    <w:rsid w:val="00797F32"/>
    <w:rsid w:val="007A0BF5"/>
    <w:rsid w:val="007A151E"/>
    <w:rsid w:val="007A4513"/>
    <w:rsid w:val="007A705E"/>
    <w:rsid w:val="007B51F0"/>
    <w:rsid w:val="007B56CE"/>
    <w:rsid w:val="007B77A6"/>
    <w:rsid w:val="007C3FBA"/>
    <w:rsid w:val="007C57AF"/>
    <w:rsid w:val="007D0172"/>
    <w:rsid w:val="007D3828"/>
    <w:rsid w:val="007E30E3"/>
    <w:rsid w:val="007E5AC0"/>
    <w:rsid w:val="008019DC"/>
    <w:rsid w:val="00803537"/>
    <w:rsid w:val="00803EC5"/>
    <w:rsid w:val="008073DD"/>
    <w:rsid w:val="008074D4"/>
    <w:rsid w:val="0081418D"/>
    <w:rsid w:val="00814BC7"/>
    <w:rsid w:val="00814DAD"/>
    <w:rsid w:val="00816631"/>
    <w:rsid w:val="0081707F"/>
    <w:rsid w:val="008221C5"/>
    <w:rsid w:val="00833D34"/>
    <w:rsid w:val="00833D9C"/>
    <w:rsid w:val="00853C21"/>
    <w:rsid w:val="0086311F"/>
    <w:rsid w:val="00873ADA"/>
    <w:rsid w:val="008775B8"/>
    <w:rsid w:val="00877D32"/>
    <w:rsid w:val="008809CB"/>
    <w:rsid w:val="00884130"/>
    <w:rsid w:val="00893714"/>
    <w:rsid w:val="00897859"/>
    <w:rsid w:val="008B293F"/>
    <w:rsid w:val="008C1635"/>
    <w:rsid w:val="008C3F22"/>
    <w:rsid w:val="008C41E4"/>
    <w:rsid w:val="008C6DA9"/>
    <w:rsid w:val="008C6E74"/>
    <w:rsid w:val="008D3D75"/>
    <w:rsid w:val="008D748A"/>
    <w:rsid w:val="008E22EC"/>
    <w:rsid w:val="008F6E98"/>
    <w:rsid w:val="00904C94"/>
    <w:rsid w:val="0091518F"/>
    <w:rsid w:val="00917C10"/>
    <w:rsid w:val="00922C5F"/>
    <w:rsid w:val="00926860"/>
    <w:rsid w:val="009337AC"/>
    <w:rsid w:val="0093562A"/>
    <w:rsid w:val="0094051C"/>
    <w:rsid w:val="00945A08"/>
    <w:rsid w:val="009569F1"/>
    <w:rsid w:val="00956E15"/>
    <w:rsid w:val="00957A33"/>
    <w:rsid w:val="00971AF2"/>
    <w:rsid w:val="00974121"/>
    <w:rsid w:val="009842AD"/>
    <w:rsid w:val="0098739B"/>
    <w:rsid w:val="0099335B"/>
    <w:rsid w:val="009972E9"/>
    <w:rsid w:val="009A128A"/>
    <w:rsid w:val="009A323E"/>
    <w:rsid w:val="009A6103"/>
    <w:rsid w:val="009B42E6"/>
    <w:rsid w:val="009B789C"/>
    <w:rsid w:val="009D7141"/>
    <w:rsid w:val="009F44D9"/>
    <w:rsid w:val="00A024E9"/>
    <w:rsid w:val="00A14DA2"/>
    <w:rsid w:val="00A20A87"/>
    <w:rsid w:val="00A25B5B"/>
    <w:rsid w:val="00A25E2F"/>
    <w:rsid w:val="00A31E55"/>
    <w:rsid w:val="00A3231B"/>
    <w:rsid w:val="00A33C94"/>
    <w:rsid w:val="00A37A26"/>
    <w:rsid w:val="00A46556"/>
    <w:rsid w:val="00A5211C"/>
    <w:rsid w:val="00A61076"/>
    <w:rsid w:val="00A610D3"/>
    <w:rsid w:val="00A703EB"/>
    <w:rsid w:val="00A71489"/>
    <w:rsid w:val="00A72C3C"/>
    <w:rsid w:val="00A7738C"/>
    <w:rsid w:val="00A8662C"/>
    <w:rsid w:val="00A9280D"/>
    <w:rsid w:val="00A9498D"/>
    <w:rsid w:val="00A96542"/>
    <w:rsid w:val="00AA46CA"/>
    <w:rsid w:val="00AA59C4"/>
    <w:rsid w:val="00AC6FA2"/>
    <w:rsid w:val="00AD6C25"/>
    <w:rsid w:val="00AE1ACC"/>
    <w:rsid w:val="00AF4290"/>
    <w:rsid w:val="00B00260"/>
    <w:rsid w:val="00B00992"/>
    <w:rsid w:val="00B0712F"/>
    <w:rsid w:val="00B078E6"/>
    <w:rsid w:val="00B1574D"/>
    <w:rsid w:val="00B1685A"/>
    <w:rsid w:val="00B23348"/>
    <w:rsid w:val="00B233FA"/>
    <w:rsid w:val="00B34CD1"/>
    <w:rsid w:val="00B4280D"/>
    <w:rsid w:val="00B501C5"/>
    <w:rsid w:val="00B52EC9"/>
    <w:rsid w:val="00B567EE"/>
    <w:rsid w:val="00B60B3D"/>
    <w:rsid w:val="00B62FF8"/>
    <w:rsid w:val="00B63BA7"/>
    <w:rsid w:val="00B74C61"/>
    <w:rsid w:val="00B7607E"/>
    <w:rsid w:val="00B82CC7"/>
    <w:rsid w:val="00B86A5F"/>
    <w:rsid w:val="00B9156A"/>
    <w:rsid w:val="00B94D7E"/>
    <w:rsid w:val="00B95947"/>
    <w:rsid w:val="00BA0E1B"/>
    <w:rsid w:val="00BB0456"/>
    <w:rsid w:val="00BB349F"/>
    <w:rsid w:val="00BB4918"/>
    <w:rsid w:val="00BB52EA"/>
    <w:rsid w:val="00BB5985"/>
    <w:rsid w:val="00BC5CE9"/>
    <w:rsid w:val="00BC6C3E"/>
    <w:rsid w:val="00BD37A5"/>
    <w:rsid w:val="00BD536C"/>
    <w:rsid w:val="00BE22E2"/>
    <w:rsid w:val="00BE72CC"/>
    <w:rsid w:val="00BF1983"/>
    <w:rsid w:val="00C0608C"/>
    <w:rsid w:val="00C12CF4"/>
    <w:rsid w:val="00C16CCE"/>
    <w:rsid w:val="00C17243"/>
    <w:rsid w:val="00C24858"/>
    <w:rsid w:val="00C25DA1"/>
    <w:rsid w:val="00C3318C"/>
    <w:rsid w:val="00C35B6A"/>
    <w:rsid w:val="00C40631"/>
    <w:rsid w:val="00C41A7B"/>
    <w:rsid w:val="00C42B55"/>
    <w:rsid w:val="00C4379B"/>
    <w:rsid w:val="00C44847"/>
    <w:rsid w:val="00C4544D"/>
    <w:rsid w:val="00C46815"/>
    <w:rsid w:val="00C624A5"/>
    <w:rsid w:val="00C67A9D"/>
    <w:rsid w:val="00C746E0"/>
    <w:rsid w:val="00C931E4"/>
    <w:rsid w:val="00C96ABC"/>
    <w:rsid w:val="00CA2401"/>
    <w:rsid w:val="00CA2EC3"/>
    <w:rsid w:val="00CA3A86"/>
    <w:rsid w:val="00CA43C5"/>
    <w:rsid w:val="00CB4C02"/>
    <w:rsid w:val="00CB5520"/>
    <w:rsid w:val="00CB649F"/>
    <w:rsid w:val="00CC06D4"/>
    <w:rsid w:val="00CC4956"/>
    <w:rsid w:val="00CC5A8E"/>
    <w:rsid w:val="00CD4E11"/>
    <w:rsid w:val="00CD72FF"/>
    <w:rsid w:val="00CD7BBC"/>
    <w:rsid w:val="00CE05B5"/>
    <w:rsid w:val="00CF014C"/>
    <w:rsid w:val="00CF34D2"/>
    <w:rsid w:val="00CF4439"/>
    <w:rsid w:val="00CF66C0"/>
    <w:rsid w:val="00D0304B"/>
    <w:rsid w:val="00D05B72"/>
    <w:rsid w:val="00D10461"/>
    <w:rsid w:val="00D16362"/>
    <w:rsid w:val="00D2258D"/>
    <w:rsid w:val="00D31D73"/>
    <w:rsid w:val="00D325B2"/>
    <w:rsid w:val="00D4130B"/>
    <w:rsid w:val="00D43A6B"/>
    <w:rsid w:val="00D60195"/>
    <w:rsid w:val="00D62F64"/>
    <w:rsid w:val="00D70872"/>
    <w:rsid w:val="00D8338E"/>
    <w:rsid w:val="00D85898"/>
    <w:rsid w:val="00D86E13"/>
    <w:rsid w:val="00D90DA2"/>
    <w:rsid w:val="00D94A1D"/>
    <w:rsid w:val="00D955C2"/>
    <w:rsid w:val="00DA6442"/>
    <w:rsid w:val="00DA756F"/>
    <w:rsid w:val="00DA79E6"/>
    <w:rsid w:val="00DB4A21"/>
    <w:rsid w:val="00DB57B7"/>
    <w:rsid w:val="00DB647D"/>
    <w:rsid w:val="00DC507A"/>
    <w:rsid w:val="00DD4901"/>
    <w:rsid w:val="00DE6377"/>
    <w:rsid w:val="00DF3F9C"/>
    <w:rsid w:val="00E01C78"/>
    <w:rsid w:val="00E1623F"/>
    <w:rsid w:val="00E17948"/>
    <w:rsid w:val="00E23CB1"/>
    <w:rsid w:val="00E241E9"/>
    <w:rsid w:val="00E26755"/>
    <w:rsid w:val="00E36F57"/>
    <w:rsid w:val="00E378A6"/>
    <w:rsid w:val="00E44323"/>
    <w:rsid w:val="00E47D53"/>
    <w:rsid w:val="00E5063B"/>
    <w:rsid w:val="00E5662E"/>
    <w:rsid w:val="00E658DF"/>
    <w:rsid w:val="00E8060B"/>
    <w:rsid w:val="00E813CC"/>
    <w:rsid w:val="00E81F12"/>
    <w:rsid w:val="00E928C8"/>
    <w:rsid w:val="00E928E5"/>
    <w:rsid w:val="00E944BA"/>
    <w:rsid w:val="00EA0DC3"/>
    <w:rsid w:val="00EA12C1"/>
    <w:rsid w:val="00EA3824"/>
    <w:rsid w:val="00EA786A"/>
    <w:rsid w:val="00EB011F"/>
    <w:rsid w:val="00EB0702"/>
    <w:rsid w:val="00EB28B9"/>
    <w:rsid w:val="00EC008D"/>
    <w:rsid w:val="00EC1049"/>
    <w:rsid w:val="00EC22E0"/>
    <w:rsid w:val="00EC3CEA"/>
    <w:rsid w:val="00EC6328"/>
    <w:rsid w:val="00ED3AE4"/>
    <w:rsid w:val="00ED5365"/>
    <w:rsid w:val="00ED6887"/>
    <w:rsid w:val="00ED6995"/>
    <w:rsid w:val="00ED7666"/>
    <w:rsid w:val="00EE6197"/>
    <w:rsid w:val="00EF1940"/>
    <w:rsid w:val="00EF442E"/>
    <w:rsid w:val="00F01368"/>
    <w:rsid w:val="00F05E15"/>
    <w:rsid w:val="00F14998"/>
    <w:rsid w:val="00F151AD"/>
    <w:rsid w:val="00F169FC"/>
    <w:rsid w:val="00F33052"/>
    <w:rsid w:val="00F3378D"/>
    <w:rsid w:val="00F33ADE"/>
    <w:rsid w:val="00F34DD5"/>
    <w:rsid w:val="00F35097"/>
    <w:rsid w:val="00F41C47"/>
    <w:rsid w:val="00F5050F"/>
    <w:rsid w:val="00F53705"/>
    <w:rsid w:val="00F556B6"/>
    <w:rsid w:val="00F74764"/>
    <w:rsid w:val="00F857F6"/>
    <w:rsid w:val="00F85FF6"/>
    <w:rsid w:val="00FB0B5C"/>
    <w:rsid w:val="00FB3768"/>
    <w:rsid w:val="00FC4985"/>
    <w:rsid w:val="00FC6B2E"/>
    <w:rsid w:val="00FD0317"/>
    <w:rsid w:val="00FD3368"/>
    <w:rsid w:val="00FF35DB"/>
    <w:rsid w:val="00FF565F"/>
    <w:rsid w:val="00FF70C5"/>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14:docId w14:val="709B527C"/>
  <w15:chartTrackingRefBased/>
  <w15:docId w15:val="{12419E17-88F7-7A4E-AAC2-0F7298B1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semiHidden/>
    <w:qFormat/>
    <w:rsid w:val="000B25DA"/>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0B25DA"/>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B25D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0B25D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B25DA"/>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78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0B25DA"/>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0B25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B25DA"/>
    <w:rPr>
      <w:rFonts w:eastAsiaTheme="majorEastAsia" w:cstheme="majorBidi"/>
      <w:sz w:val="28"/>
      <w:szCs w:val="28"/>
    </w:rPr>
  </w:style>
  <w:style w:type="character" w:customStyle="1" w:styleId="Heading4Char">
    <w:name w:val="Heading 4 Char"/>
    <w:basedOn w:val="DefaultParagraphFont"/>
    <w:link w:val="Heading4"/>
    <w:uiPriority w:val="9"/>
    <w:semiHidden/>
    <w:rsid w:val="000B25DA"/>
    <w:rPr>
      <w:rFonts w:eastAsiaTheme="majorEastAsia" w:cstheme="majorBidi"/>
      <w:i/>
      <w:iCs/>
    </w:rPr>
  </w:style>
  <w:style w:type="character" w:customStyle="1" w:styleId="Heading5Char">
    <w:name w:val="Heading 5 Char"/>
    <w:basedOn w:val="DefaultParagraphFont"/>
    <w:link w:val="Heading5"/>
    <w:uiPriority w:val="9"/>
    <w:semiHidden/>
    <w:rsid w:val="000B25DA"/>
    <w:rPr>
      <w:rFonts w:eastAsiaTheme="majorEastAsia" w:cstheme="majorBidi"/>
    </w:rPr>
  </w:style>
  <w:style w:type="character" w:customStyle="1" w:styleId="Heading6Char">
    <w:name w:val="Heading 6 Char"/>
    <w:basedOn w:val="DefaultParagraphFont"/>
    <w:link w:val="Heading6"/>
    <w:uiPriority w:val="9"/>
    <w:semiHidden/>
    <w:rsid w:val="0078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B00"/>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78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8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782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8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782B0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82B00"/>
    <w:rPr>
      <w:i/>
      <w:iCs/>
      <w:color w:val="404040" w:themeColor="text1" w:themeTint="BF"/>
    </w:rPr>
  </w:style>
  <w:style w:type="paragraph" w:styleId="ListParagraph">
    <w:name w:val="List Paragraph"/>
    <w:basedOn w:val="Normal"/>
    <w:uiPriority w:val="34"/>
    <w:semiHidden/>
    <w:qFormat/>
    <w:rsid w:val="00782B00"/>
    <w:pPr>
      <w:ind w:left="720"/>
      <w:contextualSpacing/>
    </w:pPr>
  </w:style>
  <w:style w:type="character" w:styleId="IntenseEmphasis">
    <w:name w:val="Intense Emphasis"/>
    <w:basedOn w:val="DefaultParagraphFont"/>
    <w:uiPriority w:val="21"/>
    <w:semiHidden/>
    <w:qFormat/>
    <w:rsid w:val="00782B00"/>
    <w:rPr>
      <w:i/>
      <w:iCs/>
      <w:color w:val="0F4761" w:themeColor="accent1" w:themeShade="BF"/>
    </w:rPr>
  </w:style>
  <w:style w:type="paragraph" w:styleId="IntenseQuote">
    <w:name w:val="Intense Quote"/>
    <w:basedOn w:val="Normal"/>
    <w:next w:val="Normal"/>
    <w:link w:val="IntenseQuoteChar"/>
    <w:uiPriority w:val="30"/>
    <w:semiHidden/>
    <w:qFormat/>
    <w:rsid w:val="00782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782B00"/>
    <w:rPr>
      <w:i/>
      <w:iCs/>
      <w:color w:val="0F4761" w:themeColor="accent1" w:themeShade="BF"/>
    </w:rPr>
  </w:style>
  <w:style w:type="character" w:styleId="IntenseReference">
    <w:name w:val="Intense Reference"/>
    <w:basedOn w:val="DefaultParagraphFont"/>
    <w:uiPriority w:val="32"/>
    <w:semiHidden/>
    <w:qFormat/>
    <w:rsid w:val="00782B00"/>
    <w:rPr>
      <w:b/>
      <w:bCs/>
      <w:smallCaps/>
      <w:color w:val="0F4761" w:themeColor="accent1" w:themeShade="BF"/>
      <w:spacing w:val="5"/>
    </w:rPr>
  </w:style>
  <w:style w:type="paragraph" w:customStyle="1" w:styleId="p1">
    <w:name w:val="p1"/>
    <w:basedOn w:val="Normal"/>
    <w:semiHidden/>
    <w:rsid w:val="00782B00"/>
    <w:pPr>
      <w:spacing w:after="0" w:line="240" w:lineRule="auto"/>
    </w:pPr>
    <w:rPr>
      <w:rFonts w:ascii="Helvetica" w:eastAsia="Times New Roman" w:hAnsi="Helvetica" w:cs="Times New Roman"/>
      <w:color w:val="000000"/>
      <w:kern w:val="0"/>
      <w:sz w:val="48"/>
      <w:szCs w:val="48"/>
      <w14:ligatures w14:val="none"/>
    </w:rPr>
  </w:style>
  <w:style w:type="paragraph" w:customStyle="1" w:styleId="p2">
    <w:name w:val="p2"/>
    <w:basedOn w:val="Normal"/>
    <w:semiHidden/>
    <w:rsid w:val="00782B00"/>
    <w:pPr>
      <w:spacing w:after="0" w:line="240" w:lineRule="auto"/>
    </w:pPr>
    <w:rPr>
      <w:rFonts w:ascii="Helvetica" w:eastAsia="Times New Roman" w:hAnsi="Helvetica" w:cs="Times New Roman"/>
      <w:color w:val="000000"/>
      <w:kern w:val="0"/>
      <w14:ligatures w14:val="none"/>
    </w:rPr>
  </w:style>
  <w:style w:type="paragraph" w:customStyle="1" w:styleId="p3">
    <w:name w:val="p3"/>
    <w:basedOn w:val="Normal"/>
    <w:semiHidden/>
    <w:rsid w:val="00782B00"/>
    <w:pPr>
      <w:spacing w:after="0" w:line="240" w:lineRule="auto"/>
    </w:pPr>
    <w:rPr>
      <w:rFonts w:ascii="Helvetica" w:eastAsia="Times New Roman" w:hAnsi="Helvetica" w:cs="Times New Roman"/>
      <w:color w:val="000000"/>
      <w:kern w:val="0"/>
      <w:sz w:val="36"/>
      <w:szCs w:val="36"/>
      <w14:ligatures w14:val="none"/>
    </w:rPr>
  </w:style>
  <w:style w:type="paragraph" w:customStyle="1" w:styleId="Report-Heading">
    <w:name w:val="Report - Heading"/>
    <w:basedOn w:val="p1"/>
    <w:qFormat/>
    <w:rsid w:val="00ED5365"/>
    <w:rPr>
      <w:rFonts w:ascii="Arial" w:hAnsi="Arial" w:cs="Arial"/>
      <w:sz w:val="36"/>
    </w:rPr>
  </w:style>
  <w:style w:type="paragraph" w:customStyle="1" w:styleId="Report-Body">
    <w:name w:val="Report - Body"/>
    <w:basedOn w:val="p2"/>
    <w:qFormat/>
    <w:rsid w:val="00D325B2"/>
    <w:rPr>
      <w:rFonts w:ascii="Arial" w:hAnsi="Arial" w:cs="Arial"/>
      <w:color w:val="1D1D1D"/>
      <w:szCs w:val="32"/>
    </w:rPr>
  </w:style>
  <w:style w:type="paragraph" w:customStyle="1" w:styleId="Report-BodyLink">
    <w:name w:val="Report - Body Link"/>
    <w:basedOn w:val="Report-Body"/>
    <w:semiHidden/>
    <w:qFormat/>
    <w:rsid w:val="00782B00"/>
    <w:rPr>
      <w:color w:val="013CB3"/>
      <w:u w:val="single"/>
    </w:rPr>
  </w:style>
  <w:style w:type="paragraph" w:customStyle="1" w:styleId="Report-SubheadLvl1">
    <w:name w:val="Report - Subhead Lvl. 1"/>
    <w:basedOn w:val="p3"/>
    <w:qFormat/>
    <w:rsid w:val="000B25DA"/>
    <w:rPr>
      <w:rFonts w:ascii="Arial" w:hAnsi="Arial" w:cs="Arial"/>
      <w:b/>
      <w:bCs/>
      <w:color w:val="auto"/>
      <w:sz w:val="26"/>
      <w:szCs w:val="40"/>
    </w:rPr>
  </w:style>
  <w:style w:type="paragraph" w:styleId="Header">
    <w:name w:val="header"/>
    <w:basedOn w:val="Normal"/>
    <w:link w:val="HeaderChar"/>
    <w:uiPriority w:val="99"/>
    <w:unhideWhenUsed/>
    <w:rsid w:val="00FB37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3768"/>
  </w:style>
  <w:style w:type="paragraph" w:styleId="Footer">
    <w:name w:val="footer"/>
    <w:basedOn w:val="Normal"/>
    <w:link w:val="FooterChar"/>
    <w:uiPriority w:val="99"/>
    <w:unhideWhenUsed/>
    <w:rsid w:val="00FB37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3768"/>
  </w:style>
  <w:style w:type="character" w:styleId="PageNumber">
    <w:name w:val="page number"/>
    <w:basedOn w:val="DefaultParagraphFont"/>
    <w:uiPriority w:val="99"/>
    <w:semiHidden/>
    <w:unhideWhenUsed/>
    <w:rsid w:val="0071770E"/>
  </w:style>
  <w:style w:type="character" w:styleId="Hyperlink">
    <w:name w:val="Hyperlink"/>
    <w:basedOn w:val="DefaultParagraphFont"/>
    <w:uiPriority w:val="99"/>
    <w:unhideWhenUsed/>
    <w:rsid w:val="0093562A"/>
    <w:rPr>
      <w:color w:val="467886" w:themeColor="hyperlink"/>
      <w:u w:val="single"/>
    </w:rPr>
  </w:style>
  <w:style w:type="character" w:styleId="UnresolvedMention">
    <w:name w:val="Unresolved Mention"/>
    <w:basedOn w:val="DefaultParagraphFont"/>
    <w:uiPriority w:val="99"/>
    <w:semiHidden/>
    <w:unhideWhenUsed/>
    <w:rsid w:val="0093562A"/>
    <w:rPr>
      <w:color w:val="605E5C"/>
      <w:shd w:val="clear" w:color="auto" w:fill="E1DFDD"/>
    </w:rPr>
  </w:style>
  <w:style w:type="character" w:customStyle="1" w:styleId="normaltextrun">
    <w:name w:val="normaltextrun"/>
    <w:basedOn w:val="DefaultParagraphFont"/>
    <w:semiHidden/>
    <w:rsid w:val="00C46815"/>
  </w:style>
  <w:style w:type="paragraph" w:customStyle="1" w:styleId="paragraph">
    <w:name w:val="paragraph"/>
    <w:basedOn w:val="Normal"/>
    <w:semiHidden/>
    <w:rsid w:val="00D325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semiHidden/>
    <w:rsid w:val="00D325B2"/>
  </w:style>
  <w:style w:type="character" w:customStyle="1" w:styleId="scxw5419088">
    <w:name w:val="scxw5419088"/>
    <w:basedOn w:val="DefaultParagraphFont"/>
    <w:semiHidden/>
    <w:rsid w:val="003B55C8"/>
  </w:style>
  <w:style w:type="paragraph" w:customStyle="1" w:styleId="Report-Subhead-Lvl2">
    <w:name w:val="Report - Subhead - Lvl. 2"/>
    <w:basedOn w:val="Report-Body"/>
    <w:semiHidden/>
    <w:qFormat/>
    <w:rsid w:val="00ED6887"/>
    <w:rPr>
      <w:color w:val="auto"/>
    </w:rPr>
  </w:style>
  <w:style w:type="paragraph" w:customStyle="1" w:styleId="Report-Metadata">
    <w:name w:val="Report - Metadata"/>
    <w:basedOn w:val="Report-Body"/>
    <w:qFormat/>
    <w:rsid w:val="00F34DD5"/>
    <w:pPr>
      <w:ind w:left="720"/>
    </w:pPr>
    <w:rPr>
      <w:b/>
      <w:bCs/>
      <w:sz w:val="18"/>
      <w:szCs w:val="16"/>
    </w:rPr>
  </w:style>
  <w:style w:type="character" w:customStyle="1" w:styleId="scxw86120433">
    <w:name w:val="scxw86120433"/>
    <w:basedOn w:val="DefaultParagraphFont"/>
    <w:semiHidden/>
    <w:rsid w:val="00756906"/>
  </w:style>
  <w:style w:type="paragraph" w:customStyle="1" w:styleId="Report-SnippetSubheadLvl3">
    <w:name w:val="Report - Snippet Subhead Lvl. 3"/>
    <w:basedOn w:val="Report-Body"/>
    <w:next w:val="Report-Body"/>
    <w:semiHidden/>
    <w:qFormat/>
    <w:rsid w:val="00D10461"/>
    <w:pPr>
      <w:spacing w:before="240" w:after="240"/>
      <w:ind w:left="143" w:right="134"/>
    </w:pPr>
    <w:rPr>
      <w:rFonts w:eastAsiaTheme="majorEastAsia"/>
      <w:b/>
      <w:bCs/>
    </w:rPr>
  </w:style>
  <w:style w:type="paragraph" w:customStyle="1" w:styleId="Report-MetadataDOT">
    <w:name w:val="Report - Metadata DOT"/>
    <w:basedOn w:val="Report-Body"/>
    <w:semiHidden/>
    <w:qFormat/>
    <w:rsid w:val="0081707F"/>
    <w:pPr>
      <w:ind w:left="720"/>
    </w:pPr>
    <w:rPr>
      <w:rFonts w:eastAsiaTheme="majorEastAsia"/>
      <w:b/>
      <w:bCs/>
      <w:color w:val="7F7F7F" w:themeColor="text1" w:themeTint="80"/>
      <w:sz w:val="16"/>
      <w:szCs w:val="16"/>
    </w:rPr>
  </w:style>
  <w:style w:type="character" w:customStyle="1" w:styleId="scxw58347994">
    <w:name w:val="scxw58347994"/>
    <w:basedOn w:val="DefaultParagraphFont"/>
    <w:semiHidden/>
    <w:rsid w:val="007B77A6"/>
  </w:style>
  <w:style w:type="character" w:styleId="PlaceholderText">
    <w:name w:val="Placeholder Text"/>
    <w:basedOn w:val="DefaultParagraphFont"/>
    <w:uiPriority w:val="99"/>
    <w:semiHidden/>
    <w:rsid w:val="002233E3"/>
    <w:rPr>
      <w:color w:val="666666"/>
    </w:rPr>
  </w:style>
  <w:style w:type="table" w:styleId="TableGrid">
    <w:name w:val="Table Grid"/>
    <w:basedOn w:val="TableNormal"/>
    <w:uiPriority w:val="39"/>
    <w:semiHidden/>
    <w:rsid w:val="009A6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mmaryAndSnippets">
    <w:name w:val="SummaryAndSnippets"/>
    <w:basedOn w:val="TableNormal"/>
    <w:uiPriority w:val="99"/>
    <w:rsid w:val="009A6103"/>
    <w:pPr>
      <w:spacing w:after="0" w:line="240" w:lineRule="auto"/>
    </w:pPr>
    <w:rPr>
      <w:rFonts w:ascii="Arial" w:hAnsi="Arial"/>
    </w:rPr>
    <w:tblPr>
      <w:tblInd w:w="706" w:type="dxa"/>
      <w:tblBorders>
        <w:top w:val="single" w:sz="6" w:space="0" w:color="E8E8E8"/>
        <w:left w:val="single" w:sz="6" w:space="0" w:color="E8E8E8"/>
        <w:bottom w:val="single" w:sz="6" w:space="0" w:color="E8E8E8"/>
        <w:right w:val="single" w:sz="6" w:space="0" w:color="E8E8E8"/>
        <w:insideH w:val="single" w:sz="6" w:space="0" w:color="E8E8E8"/>
        <w:insideV w:val="single" w:sz="6" w:space="0" w:color="E8E8E8"/>
      </w:tblBorders>
      <w:tblCellMar>
        <w:top w:w="173" w:type="dxa"/>
        <w:left w:w="173" w:type="dxa"/>
        <w:bottom w:w="173" w:type="dxa"/>
        <w:right w:w="173" w:type="dxa"/>
      </w:tblCellMar>
    </w:tblPr>
    <w:tcPr>
      <w:shd w:val="clear" w:color="auto" w:fill="auto"/>
    </w:tcPr>
  </w:style>
  <w:style w:type="table" w:customStyle="1" w:styleId="AnswerBody">
    <w:name w:val="AnswerBody"/>
    <w:basedOn w:val="SummaryAndSnippets"/>
    <w:uiPriority w:val="99"/>
    <w:semiHidden/>
    <w:rsid w:val="007E5AC0"/>
    <w:tblPr>
      <w:tblInd w:w="0" w:type="dxa"/>
    </w:tblPr>
  </w:style>
  <w:style w:type="numbering" w:customStyle="1" w:styleId="ResearchSteps">
    <w:name w:val="ResearchSteps"/>
    <w:uiPriority w:val="99"/>
    <w:semiHidden/>
    <w:rsid w:val="000A62DD"/>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1.next.westlaw.com/Link/RelatedInformation/Flag?docGuid=I6920d099f96d11d98ac8f235252e36df&amp;ppcid=i0a898c810000019c44046d52f8833b56&amp;transitionType=AIGuidedResearch&amp;contextData=%28sc.Default%29&amp;conversationId=ec04f06f-5f80-415c-80dc-0f293db85114" TargetMode="External" /><Relationship Id="rId11" Type="http://schemas.openxmlformats.org/officeDocument/2006/relationships/hyperlink" Target="https://1.next.westlaw.com/Document/I6920d099f96d11d98ac8f235252e36df/View/FullText.html?transitionType=AIGuidedResearch&amp;contextData=%28sc.Default%29&amp;list=All&amp;listSource=WebsiteInternal&amp;conversationId=ec04f06f-5f80-415c-80dc-0f293db85114" TargetMode="External" /><Relationship Id="rId12" Type="http://schemas.openxmlformats.org/officeDocument/2006/relationships/hyperlink" Target="https://1.next.westlaw.com/Document/I2da46701f94c11d99439b076ef9ec4de/View/FullText.html?transitionType=AIGuidedResearch&amp;contextData=%28sc.Default%29&amp;list=All&amp;listSource=WebsiteInternal&amp;conversationId=ec04f06f-5f80-415c-80dc-0f293db85114" TargetMode="External" /><Relationship Id="rId13" Type="http://schemas.openxmlformats.org/officeDocument/2006/relationships/hyperlink" Target="https://1.next.westlaw.com/Document/I1e74d6d5f96f11d9b386b232635db992/View/FullText.html?transitionType=AIGuidedResearch&amp;contextData=%28sc.Default%29&amp;list=All&amp;listSource=WebsiteInternal&amp;conversationId=ec04f06f-5f80-415c-80dc-0f293db85114" TargetMode="External" /><Relationship Id="rId14" Type="http://schemas.openxmlformats.org/officeDocument/2006/relationships/hyperlink" Target="https://1.next.westlaw.com/Document/Ic51c35cbf35d11dbb92c924f6a2d2928/View/FullText.html?transitionType=AIGuidedResearch&amp;contextData=%28sc.Default%29&amp;list=All&amp;listSource=WebsiteInternal&amp;conversationId=ec04f06f-5f80-415c-80dc-0f293db85114" TargetMode="External" /><Relationship Id="rId15" Type="http://schemas.openxmlformats.org/officeDocument/2006/relationships/hyperlink" Target="https://1.next.westlaw.com/Document/Ib0bb44b1da5e11e2aa340000837bc6dd/View/FullText.html?transitionType=AIGuidedResearch&amp;contextData=%28sc.Default%29&amp;list=All&amp;listSource=WebsiteInternal&amp;conversationId=ec04f06f-5f80-415c-80dc-0f293db85114" TargetMode="External" /><Relationship Id="rId16" Type="http://schemas.openxmlformats.org/officeDocument/2006/relationships/hyperlink" Target="https://1.next.westlaw.com/Document/Ic9a3f288ea6d11d9a636ebd31500554b/View/FullText.html?transitionType=AIGuidedResearch&amp;contextData=%28sc.Default%29&amp;list=All&amp;listSource=WebsiteInternal&amp;conversationId=ec04f06f-5f80-415c-80dc-0f293db85114" TargetMode="External" /><Relationship Id="rId17" Type="http://schemas.openxmlformats.org/officeDocument/2006/relationships/hyperlink" Target="https://1.next.westlaw.com/Document/I460adc33a4c111e9adfea82903531a62/View/FullText.html?transitionType=AIGuidedResearch&amp;contextData=%28sc.Default%29&amp;list=All&amp;listSource=WebsiteInternal&amp;conversationId=ec04f06f-5f80-415c-80dc-0f293db85114" TargetMode="External" /><Relationship Id="rId18" Type="http://schemas.openxmlformats.org/officeDocument/2006/relationships/hyperlink" Target="https://1.next.westlaw.com/Document/I03f4dad1eee311e28578f7ccc38dcbee/View/FullText.html?transitionType=AIGuidedResearch&amp;contextData=%28sc.Default%29&amp;list=All&amp;listSource=WebsiteInternal&amp;conversationId=ec04f06f-5f80-415c-80dc-0f293db85114" TargetMode="External" /><Relationship Id="rId19" Type="http://schemas.openxmlformats.org/officeDocument/2006/relationships/hyperlink" Target="https://1.next.westlaw.com/Document/I92c52de139e411e498db8b09b4f043e0/View/FullText.html?transitionType=AIGuidedResearch&amp;contextData=%28sc.Default%29&amp;list=All&amp;listSource=WebsiteInternal&amp;conversationId=ec04f06f-5f80-415c-80dc-0f293db85114" TargetMode="External" /><Relationship Id="rId2" Type="http://schemas.openxmlformats.org/officeDocument/2006/relationships/webSettings" Target="webSettings.xml" /><Relationship Id="rId20" Type="http://schemas.openxmlformats.org/officeDocument/2006/relationships/header" Target="header1.xml" /><Relationship Id="rId21" Type="http://schemas.openxmlformats.org/officeDocument/2006/relationships/footer" Target="footer1.xml" /><Relationship Id="rId22" Type="http://schemas.openxmlformats.org/officeDocument/2006/relationships/footer" Target="footer2.xml" /><Relationship Id="rId23" Type="http://schemas.openxmlformats.org/officeDocument/2006/relationships/theme" Target="theme/theme1.xml" /><Relationship Id="rId24" Type="http://schemas.openxmlformats.org/officeDocument/2006/relationships/numbering" Target="numbering.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yperlink" Target="https://1.next.westlaw.com/Document/NF81F7660E91811DB929BA2D7B6842081/View/FullText.html?transitionType=AIGuidedResearch&amp;contextData=%28sc.Default%29&amp;list=All&amp;listSource=WebsiteInternal&amp;conversationId=ec04f06f-5f80-415c-80dc-0f293db85114" TargetMode="External" /><Relationship Id="rId5" Type="http://schemas.openxmlformats.org/officeDocument/2006/relationships/hyperlink" Target="https://1.next.westlaw.com/Document/NB37511D0E92411DBB234EB2E0FBE04D9/View/FullText.html?transitionType=AIGuidedResearch&amp;contextData=%28sc.Default%29&amp;list=All&amp;listSource=WebsiteInternal&amp;conversationId=ec04f06f-5f80-415c-80dc-0f293db85114" TargetMode="External" /><Relationship Id="rId6" Type="http://schemas.openxmlformats.org/officeDocument/2006/relationships/hyperlink" Target="https://1.next.westlaw.com/Document/I09b39cc08b2c11eb8964e006194f3fe5/View/FullText.html?transitionType=AIGuidedResearch&amp;contextData=%28sc.Default%29&amp;list=All&amp;listSource=WebsiteInternal&amp;conversationId=ec04f06f-5f80-415c-80dc-0f293db85114" TargetMode="External" /><Relationship Id="rId7" Type="http://schemas.openxmlformats.org/officeDocument/2006/relationships/hyperlink" Target="https://1.next.westlaw.com/Link/RelatedInformation/Flag?docGuid=I00757f36612511e18b1ac573b20fcfb7&amp;ppcid=i0a8993340000019c44046ad19d38e94b&amp;transitionType=AIGuidedResearch&amp;contextData=%28sc.Default%29&amp;conversationId=ec04f06f-5f80-415c-80dc-0f293db85114" TargetMode="External" /><Relationship Id="rId8" Type="http://schemas.openxmlformats.org/officeDocument/2006/relationships/image" Target="https://i1.next.westlaw.com/permalink/indigo/flag_yellow_small.png" TargetMode="External" /><Relationship Id="rId9" Type="http://schemas.openxmlformats.org/officeDocument/2006/relationships/hyperlink" Target="https://1.next.westlaw.com/Document/I00757f36612511e18b1ac573b20fcfb7/View/FullText.html?transitionType=AIGuidedResearch&amp;contextData=%28sc.Default%29&amp;list=All&amp;listSource=WebsiteInternal&amp;conversationId=ec04f06f-5f80-415c-80dc-0f293db851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767</TotalTime>
  <Pages>15</Pages>
  <Words>45</Words>
  <Characters>941</Characters>
  <Application>Microsoft Office Word</Application>
  <DocSecurity>0</DocSecurity>
  <Lines>85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Westlaw AI Deep Research</dc:creator>
  <cp:lastModifiedBy>Hongslo, Michael (TR Technology)</cp:lastModifiedBy>
  <cp:revision>267</cp:revision>
  <dcterms:created xsi:type="dcterms:W3CDTF">2025-07-30T20:26:00Z</dcterms:created>
  <dcterms:modified xsi:type="dcterms:W3CDTF">2026-02-02T20:41:00Z</dcterms:modified>
</cp:coreProperties>
</file>