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8.0 -->
  <w:body>
    <w:p w:rsidR="000911FB" w:rsidP="000911FB" w14:paraId="14F968FB" w14:textId="46DD7B6A">
      <w:pPr>
        <w:pStyle w:val="Report-Heading"/>
        <w:rPr>
          <w:rFonts w:eastAsiaTheme="minorHAnsi"/>
        </w:rPr>
      </w:pPr>
      <w:r>
        <w:rPr>
          <w:b w:val="0"/>
          <w:i w:val="0"/>
          <w:strike w:val="0"/>
        </w:rPr>
        <w:t>Research question</w:t>
      </w:r>
    </w:p>
    <w:p w:rsidR="00FD0317" w:rsidP="000911FB" w14:paraId="51CFC033" w14:textId="77777777">
      <w:pPr>
        <w:pStyle w:val="Report-Body"/>
      </w:pPr>
    </w:p>
    <w:p w:rsidR="000911FB" w:rsidP="000911FB" w14:paraId="28859EEF" w14:textId="0D31FD51">
      <w:pPr>
        <w:pStyle w:val="Report-Body"/>
      </w:pPr>
      <w:r>
        <w:rPr>
          <w:b w:val="0"/>
          <w:i w:val="0"/>
          <w:strike w:val="0"/>
        </w:rPr>
        <w:t>When a lender sends default notices to a borrower's old address and the borrower receives email communications from the lender but not emails about the default itself, has the lender provided adequate notice under SBA regulations and due process?</w:t>
      </w:r>
    </w:p>
    <w:p w:rsidR="000911FB" w:rsidRPr="00E5063B" w:rsidP="000911FB" w14:paraId="292F0F17" w14:textId="77777777">
      <w:pPr>
        <w:pStyle w:val="Report-Body"/>
      </w:pPr>
    </w:p>
    <w:p>
      <w:pPr>
        <w:pStyle w:val="Report-Metadata"/>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sz w:val="18"/>
        </w:rPr>
        <w:t>NJ, 3rd Circuit</w:t>
        <w:br/>
      </w:r>
    </w:p>
    <w:p w:rsidR="000911FB" w:rsidP="000911FB" w14:paraId="57F8CAA9" w14:textId="77777777">
      <w:pPr>
        <w:pStyle w:val="Report-Body"/>
      </w:pPr>
    </w:p>
    <w:p w:rsidR="000911FB" w:rsidP="000911FB" w14:paraId="7E83A4BC" w14:textId="77777777">
      <w:pPr>
        <w:pStyle w:val="Report-Body"/>
      </w:pPr>
      <w:r>
        <w:rPr>
          <w:noProof/>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852100684"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5" style="mso-wrap-distance-bottom:0;mso-wrap-distance-left:9pt;mso-wrap-distance-right:9pt;mso-wrap-distance-top:0;mso-wrap-style:square;position:absolute;visibility:visible;z-index:251661312" from="0,0.95pt" to="465pt,0.95pt" strokecolor="black" strokeweight="1.5pt">
                <v:stroke joinstyle="miter"/>
              </v:line>
            </w:pict>
          </mc:Fallback>
        </mc:AlternateContent>
      </w:r>
    </w:p>
    <w:p>
      <w:pPr>
        <w:pStyle w:val="Heading3"/>
        <w:rPr>
          <w:b w:val="0"/>
          <w:i w:val="0"/>
          <w:strike w:val="0"/>
        </w:rPr>
      </w:pPr>
      <w:r>
        <w:rPr>
          <w:b/>
          <w:u w:val="none"/>
        </w:rPr>
        <w:t>Summary</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When a lender sends default notices to a borrower's old address while maintaining email communications with the borrower on other matters, the adequacy of notice depends on whether the attempted notice was reasonably calculated to reach the borrower under the circumstances. Under Third Circuit precedent and New Jersey law, such notice may still satisfy both SBA regulations and due process requirements if the borrower had actual knowledge of the lender's communications and the notice method was commercially reasonable given the borrower's communication patterns.</w:t>
        <w:br/>
      </w:r>
    </w:p>
    <w:p>
      <w:pPr>
        <w:pStyle w:val="Heading3"/>
        <w:rPr>
          <w:b w:val="0"/>
          <w:i w:val="0"/>
          <w:strike w:val="0"/>
        </w:rPr>
      </w:pPr>
      <w:r>
        <w:rPr>
          <w:b/>
          <w:u w:val="none"/>
        </w:rPr>
        <w:t>SBA Regulatory Requirements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SBA regulations do not establish specific notice delivery methods for loan defaults. Under 13 C.F.R. § 120.535, lenders must service SBA loans "in a commercially reasonable manner, consistent with prudent lending standards" </w:t>
      </w:r>
      <w:hyperlink r:id="rId4" w:history="1">
        <w:r>
          <w:rPr>
            <w:rStyle w:val="Hyperlink"/>
            <w:rFonts w:ascii="Arial" w:eastAsia="Times New Roman" w:hAnsi="Arial" w:cs="Arial"/>
            <w:b w:val="0"/>
            <w:i w:val="0"/>
            <w:strike w:val="0"/>
            <w:color w:val="467886"/>
            <w:u w:val="none"/>
          </w:rPr>
          <w:t>13 CFR § 120.535</w:t>
        </w:r>
      </w:hyperlink>
      <w:r>
        <w:rPr>
          <w:rFonts w:ascii="Arial" w:eastAsia="Times New Roman" w:hAnsi="Arial" w:cs="Arial"/>
          <w:b w:val="0"/>
          <w:i w:val="0"/>
          <w:strike w:val="0"/>
          <w:color w:val="1D1D1D"/>
          <w:u w:val="none"/>
        </w:rPr>
        <w:t xml:space="preserve">. The regulation requires lenders to service loans "no less diligently than their non-SBA portfolio" but defers to standard commercial lending practices rather than prescribing particular notice procedures </w:t>
      </w:r>
      <w:hyperlink r:id="rId4" w:history="1">
        <w:r>
          <w:rPr>
            <w:rStyle w:val="Hyperlink"/>
            <w:rFonts w:ascii="Arial" w:eastAsia="Times New Roman" w:hAnsi="Arial" w:cs="Arial"/>
            <w:b w:val="0"/>
            <w:i w:val="0"/>
            <w:strike w:val="0"/>
            <w:color w:val="467886"/>
            <w:u w:val="none"/>
          </w:rPr>
          <w:t>13 CFR § 120.535</w:t>
        </w:r>
      </w:hyperlink>
      <w:r>
        <w:rPr>
          <w:rFonts w:ascii="Arial" w:eastAsia="Times New Roman" w:hAnsi="Arial" w:cs="Arial"/>
          <w:b w:val="0"/>
          <w:i w:val="0"/>
          <w:strike w:val="0"/>
          <w:color w:val="1D1D1D"/>
          <w:u w:val="none"/>
        </w:rPr>
        <w:t xml:space="preserve">. SBA regulations allow lenders to request purchase of the guaranteed portion after a borrower defaults for more than 60 days, but the triggering default period does not specify notice requirements </w:t>
      </w:r>
      <w:hyperlink r:id="rId5" w:history="1">
        <w:r>
          <w:rPr>
            <w:rStyle w:val="Hyperlink"/>
            <w:rFonts w:ascii="Arial" w:eastAsia="Times New Roman" w:hAnsi="Arial" w:cs="Arial"/>
            <w:b w:val="0"/>
            <w:i w:val="0"/>
            <w:strike w:val="0"/>
            <w:color w:val="467886"/>
            <w:u w:val="none"/>
          </w:rPr>
          <w:t>13 CFR § 120.520</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regulatory framework emphasizes that lenders must follow "Loan Program Requirements" and maintain commercially reasonable practices, but these standards are defined by reference to industry norms rather than specific SBA mandates </w:t>
      </w:r>
      <w:hyperlink r:id="rId4" w:history="1">
        <w:r>
          <w:rPr>
            <w:rStyle w:val="Hyperlink"/>
            <w:rFonts w:ascii="Arial" w:eastAsia="Times New Roman" w:hAnsi="Arial" w:cs="Arial"/>
            <w:b w:val="0"/>
            <w:i w:val="0"/>
            <w:strike w:val="0"/>
            <w:color w:val="467886"/>
            <w:u w:val="none"/>
          </w:rPr>
          <w:t>13 CFR § 120.535</w:t>
        </w:r>
      </w:hyperlink>
      <w:r>
        <w:rPr>
          <w:rFonts w:ascii="Arial" w:eastAsia="Times New Roman" w:hAnsi="Arial" w:cs="Arial"/>
          <w:b w:val="0"/>
          <w:i w:val="0"/>
          <w:strike w:val="0"/>
          <w:color w:val="1D1D1D"/>
          <w:u w:val="none"/>
        </w:rPr>
        <w:t>. This approach gives lenders flexibility in notice methods while requiring adherence to prudent commercial standards.</w:t>
        <w:br/>
      </w:r>
    </w:p>
    <w:p>
      <w:pPr>
        <w:pStyle w:val="Heading3"/>
        <w:rPr>
          <w:b w:val="0"/>
          <w:i w:val="0"/>
          <w:strike w:val="0"/>
        </w:rPr>
      </w:pPr>
      <w:r>
        <w:rPr>
          <w:b/>
          <w:u w:val="none"/>
        </w:rPr>
        <w:t>Third Circuit Due Process Standards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Third Circuit applies a sliding scale test for evaluating the adequacy of notice under due process. In </w:t>
      </w:r>
      <w:r>
        <w:rPr>
          <w:rFonts w:ascii="Arial" w:eastAsia="Times New Roman" w:hAnsi="Arial" w:cs="Arial"/>
          <w:b w:val="0"/>
          <w:i/>
          <w:strike w:val="0"/>
          <w:color w:val="1D1D1D"/>
          <w:u w:val="none"/>
        </w:rPr>
        <w:t>MTAG v. Tao Investments, LLC</w:t>
      </w:r>
      <w:r>
        <w:rPr>
          <w:rFonts w:ascii="Arial" w:eastAsia="Times New Roman" w:hAnsi="Arial" w:cs="Arial"/>
          <w:b w:val="0"/>
          <w:i w:val="0"/>
          <w:strike w:val="0"/>
          <w:color w:val="1D1D1D"/>
          <w:u w:val="none"/>
        </w:rPr>
        <w:t xml:space="preserve">, the New Jersey Appellate Division held that "not every defect in service of process constitutes a denial of due process" and established that courts consider "an individual's actual notice of an action to determine whether due process was violated" </w:t>
      </w:r>
      <w:hyperlink r:id="rId6" w:history="1">
        <w:r>
          <w:rPr>
            <w:rStyle w:val="Hyperlink"/>
            <w:rFonts w:ascii="Arial" w:eastAsia="Times New Roman" w:hAnsi="Arial" w:cs="Arial"/>
            <w:b w:val="0"/>
            <w:i w:val="0"/>
            <w:strike w:val="0"/>
            <w:color w:val="467886"/>
            <w:u w:val="none"/>
          </w:rPr>
          <w:t>MTAG v. Tao Investments, LLC, 476 N.J.Super. 324 (2023)</w:t>
        </w:r>
      </w:hyperlink>
      <w:r>
        <w:rPr>
          <w:rFonts w:ascii="Arial" w:eastAsia="Times New Roman" w:hAnsi="Arial" w:cs="Arial"/>
          <w:b w:val="0"/>
          <w:i w:val="0"/>
          <w:strike w:val="0"/>
          <w:color w:val="1D1D1D"/>
          <w:u w:val="none"/>
        </w:rPr>
        <w:t>. This sliding scale approach weighs technical service defects against whether the borrower received actual notice.</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Third Circuit's approach emphasizes substance over form. In </w:t>
      </w:r>
      <w:r>
        <w:rPr>
          <w:rFonts w:ascii="Arial" w:eastAsia="Times New Roman" w:hAnsi="Arial" w:cs="Arial"/>
          <w:b w:val="0"/>
          <w:i/>
          <w:strike w:val="0"/>
          <w:color w:val="1D1D1D"/>
          <w:u w:val="none"/>
        </w:rPr>
        <w:t>Braverman Kaskey, P.C. v. Toidze</w:t>
      </w:r>
      <w:r>
        <w:rPr>
          <w:rFonts w:ascii="Arial" w:eastAsia="Times New Roman" w:hAnsi="Arial" w:cs="Arial"/>
          <w:b w:val="0"/>
          <w:i w:val="0"/>
          <w:strike w:val="0"/>
          <w:color w:val="1D1D1D"/>
          <w:u w:val="none"/>
        </w:rPr>
        <w:t xml:space="preserve">, the Eastern District of Pennsylvania found that service by publication in a journal near the defendant's last known address "was reasonably calculated to provide actual notice and comported with due process requirements," especially when supplemented by additional attempts to provide actual notice </w:t>
      </w:r>
      <w:hyperlink r:id="rId7" w:history="1">
        <w:r>
          <w:rPr>
            <w:rStyle w:val="Hyperlink"/>
            <w:rFonts w:ascii="Arial" w:eastAsia="Times New Roman" w:hAnsi="Arial" w:cs="Arial"/>
            <w:b w:val="0"/>
            <w:i w:val="0"/>
            <w:strike w:val="0"/>
            <w:color w:val="467886"/>
            <w:u w:val="none"/>
          </w:rPr>
          <w:t>Braverman Kaskey, P.C. v. Toidze, Not Reported in F.Supp.2d (2013)</w:t>
        </w:r>
      </w:hyperlink>
      <w:r>
        <w:rPr>
          <w:rFonts w:ascii="Arial" w:eastAsia="Times New Roman" w:hAnsi="Arial" w:cs="Arial"/>
          <w:b w:val="0"/>
          <w:i w:val="0"/>
          <w:strike w:val="0"/>
          <w:color w:val="1D1D1D"/>
          <w:u w:val="none"/>
        </w:rPr>
        <w:t xml:space="preserve">. The court noted that defendants have obligations to keep courts informed of address changes, and failure to do so may excuse technical service defects </w:t>
      </w:r>
      <w:hyperlink r:id="rId7" w:history="1">
        <w:r>
          <w:rPr>
            <w:rStyle w:val="Hyperlink"/>
            <w:rFonts w:ascii="Arial" w:eastAsia="Times New Roman" w:hAnsi="Arial" w:cs="Arial"/>
            <w:b w:val="0"/>
            <w:i w:val="0"/>
            <w:strike w:val="0"/>
            <w:color w:val="467886"/>
            <w:u w:val="none"/>
          </w:rPr>
          <w:t>Braverman Kaskey, P.C. v. Toidze, Not Reported in F.Supp.2d (2013)</w:t>
        </w:r>
      </w:hyperlink>
      <w:r>
        <w:rPr>
          <w:rFonts w:ascii="Arial" w:eastAsia="Times New Roman" w:hAnsi="Arial" w:cs="Arial"/>
          <w:b w:val="0"/>
          <w:i w:val="0"/>
          <w:strike w:val="0"/>
          <w:color w:val="1D1D1D"/>
          <w:u w:val="none"/>
        </w:rPr>
        <w:t>.</w:t>
        <w:br/>
      </w:r>
    </w:p>
    <w:p>
      <w:pPr>
        <w:pStyle w:val="Heading3"/>
        <w:rPr>
          <w:b w:val="0"/>
          <w:i w:val="0"/>
          <w:strike w:val="0"/>
        </w:rPr>
      </w:pPr>
      <w:r>
        <w:rPr>
          <w:b/>
          <w:u w:val="none"/>
        </w:rPr>
        <w:t>Email Notice as Adequate Notice</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Recent Third Circuit precedent recognizes email as a potentially adequate form of notice under appropriate circumstances. In </w:t>
      </w:r>
      <w:r>
        <w:rPr>
          <w:rFonts w:ascii="Arial" w:eastAsia="Times New Roman" w:hAnsi="Arial" w:cs="Arial"/>
          <w:b w:val="0"/>
          <w:i/>
          <w:strike w:val="0"/>
          <w:color w:val="1D1D1D"/>
          <w:u w:val="none"/>
        </w:rPr>
        <w:t>In re Cyber Litigation Inc.</w:t>
      </w:r>
      <w:r>
        <w:rPr>
          <w:rFonts w:ascii="Arial" w:eastAsia="Times New Roman" w:hAnsi="Arial" w:cs="Arial"/>
          <w:b w:val="0"/>
          <w:i w:val="0"/>
          <w:strike w:val="0"/>
          <w:color w:val="1D1D1D"/>
          <w:u w:val="none"/>
        </w:rPr>
        <w:t xml:space="preserve">, the Delaware Bankruptcy Court held that email notice to an actively used email address satisfies due process requirements, particularly for sophisticated parties </w:t>
      </w:r>
      <w:hyperlink r:id="rId8" w:history="1">
        <w:r>
          <w:rPr>
            <w:rStyle w:val="Hyperlink"/>
            <w:rFonts w:ascii="Arial" w:eastAsia="Times New Roman" w:hAnsi="Arial" w:cs="Arial"/>
            <w:b w:val="0"/>
            <w:i w:val="0"/>
            <w:strike w:val="0"/>
            <w:color w:val="467886"/>
            <w:u w:val="none"/>
          </w:rPr>
          <w:t>In re Cyber Litigation Inc., Not Reported in B.R. Rptr. (2021)</w:t>
        </w:r>
      </w:hyperlink>
      <w:r>
        <w:rPr>
          <w:rFonts w:ascii="Arial" w:eastAsia="Times New Roman" w:hAnsi="Arial" w:cs="Arial"/>
          <w:b w:val="0"/>
          <w:i w:val="0"/>
          <w:strike w:val="0"/>
          <w:color w:val="1D1D1D"/>
          <w:u w:val="none"/>
        </w:rPr>
        <w:t xml:space="preserve">. The court reasoned that "sending an email to an email address that the party actively used would seem to fit" the constitutional standard requiring notice "such as one desirous of actually informing the party to be bound might reasonably adopt" </w:t>
      </w:r>
      <w:hyperlink r:id="rId8" w:history="1">
        <w:r>
          <w:rPr>
            <w:rStyle w:val="Hyperlink"/>
            <w:rFonts w:ascii="Arial" w:eastAsia="Times New Roman" w:hAnsi="Arial" w:cs="Arial"/>
            <w:b w:val="0"/>
            <w:i w:val="0"/>
            <w:strike w:val="0"/>
            <w:color w:val="467886"/>
            <w:u w:val="none"/>
          </w:rPr>
          <w:t>In re Cyber Litigation Inc., Not Reported in B.R. Rptr. (2021)</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court emphasized that email notice is especially appropriate for sophisticated parties who regularly use technology and may be difficult to reach through traditional postal service </w:t>
      </w:r>
      <w:hyperlink r:id="rId8" w:history="1">
        <w:r>
          <w:rPr>
            <w:rStyle w:val="Hyperlink"/>
            <w:rFonts w:ascii="Arial" w:eastAsia="Times New Roman" w:hAnsi="Arial" w:cs="Arial"/>
            <w:b w:val="0"/>
            <w:i w:val="0"/>
            <w:strike w:val="0"/>
            <w:color w:val="467886"/>
            <w:u w:val="none"/>
          </w:rPr>
          <w:t>In re Cyber Litigation Inc., Not Reported in B.R. Rptr. (2021)</w:t>
        </w:r>
      </w:hyperlink>
      <w:r>
        <w:rPr>
          <w:rFonts w:ascii="Arial" w:eastAsia="Times New Roman" w:hAnsi="Arial" w:cs="Arial"/>
          <w:b w:val="0"/>
          <w:i w:val="0"/>
          <w:strike w:val="0"/>
          <w:color w:val="1D1D1D"/>
          <w:u w:val="none"/>
        </w:rPr>
        <w:t>. This principle suggests that when borrowers have established patterns of email communication with lenders, email may constitute reasonable notice even if postal notices to outdated addresses fail.</w:t>
        <w:br/>
      </w:r>
    </w:p>
    <w:p>
      <w:pPr>
        <w:pStyle w:val="Heading3"/>
        <w:rPr>
          <w:b w:val="0"/>
          <w:i w:val="0"/>
          <w:strike w:val="0"/>
        </w:rPr>
      </w:pPr>
      <w:r>
        <w:rPr>
          <w:b/>
          <w:u w:val="none"/>
        </w:rPr>
        <w:t>New Jersey State Law Requirements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New Jersey foreclosure statutes require written notice that is "clearly and conspicuously state[d] in a manner calculated to make the debtor aware of the situation" </w:t>
      </w:r>
      <w:hyperlink r:id="rId9"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KeyCite Yellow Flag" style="width:16pt;height:16pt">
              <v:imagedata r:id="rId10" o:title=""/>
            </v:shape>
          </w:pict>
        </w:r>
      </w:hyperlink>
      <w:r>
        <w:rPr>
          <w:rFonts w:ascii="Arial" w:eastAsia="Times New Roman" w:hAnsi="Arial" w:cs="Arial"/>
          <w:b w:val="0"/>
          <w:i w:val="0"/>
          <w:strike w:val="0"/>
          <w:color w:val="1D1D1D"/>
          <w:u w:val="none"/>
        </w:rPr>
        <w:t xml:space="preserve"> </w:t>
      </w:r>
      <w:hyperlink r:id="rId11" w:history="1">
        <w:r>
          <w:rPr>
            <w:rStyle w:val="Hyperlink"/>
            <w:rFonts w:ascii="Arial" w:eastAsia="Times New Roman" w:hAnsi="Arial" w:cs="Arial"/>
            <w:b w:val="0"/>
            <w:i w:val="0"/>
            <w:strike w:val="0"/>
            <w:color w:val="467886"/>
            <w:u w:val="none"/>
          </w:rPr>
          <w:t>NJ ST 2A:50-56</w:t>
        </w:r>
      </w:hyperlink>
      <w:r>
        <w:rPr>
          <w:rFonts w:ascii="Arial" w:eastAsia="Times New Roman" w:hAnsi="Arial" w:cs="Arial"/>
          <w:b w:val="0"/>
          <w:i w:val="0"/>
          <w:strike w:val="0"/>
          <w:color w:val="1D1D1D"/>
          <w:u w:val="none"/>
        </w:rPr>
        <w:t xml:space="preserve">. Under N.J. Stat. Ann. § 2A:50-56, the notice must provide at least 30 days to cure the default and include contact information for a lender representative </w:t>
      </w:r>
      <w:hyperlink r:id="rId9" w:history="1">
        <w:r>
          <w:pict>
            <v:shape id="_x0000_i1027" type="#_x0000_t75" alt="KeyCite Yellow Flag" style="width:16pt;height:16pt">
              <v:imagedata r:id="rId10" o:title=""/>
            </v:shape>
          </w:pict>
        </w:r>
      </w:hyperlink>
      <w:r>
        <w:rPr>
          <w:rFonts w:ascii="Arial" w:eastAsia="Times New Roman" w:hAnsi="Arial" w:cs="Arial"/>
          <w:b w:val="0"/>
          <w:i w:val="0"/>
          <w:strike w:val="0"/>
          <w:color w:val="1D1D1D"/>
          <w:u w:val="none"/>
        </w:rPr>
        <w:t xml:space="preserve"> </w:t>
      </w:r>
      <w:hyperlink r:id="rId11" w:history="1">
        <w:r>
          <w:rPr>
            <w:rStyle w:val="Hyperlink"/>
            <w:rFonts w:ascii="Arial" w:eastAsia="Times New Roman" w:hAnsi="Arial" w:cs="Arial"/>
            <w:b w:val="0"/>
            <w:i w:val="0"/>
            <w:strike w:val="0"/>
            <w:color w:val="467886"/>
            <w:u w:val="none"/>
          </w:rPr>
          <w:t>NJ ST 2A:50-56</w:t>
        </w:r>
      </w:hyperlink>
      <w:r>
        <w:rPr>
          <w:rFonts w:ascii="Arial" w:eastAsia="Times New Roman" w:hAnsi="Arial" w:cs="Arial"/>
          <w:b w:val="0"/>
          <w:i w:val="0"/>
          <w:strike w:val="0"/>
          <w:color w:val="1D1D1D"/>
          <w:u w:val="none"/>
        </w:rPr>
        <w:t>. The statute focuses on ensuring the borrower receives meaningful notice rather than prescribing specific delivery methods.</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The New Jersey framework emphasizes the functional adequacy of notice - whether it actually informs the borrower of the default and provides opportunity to cure. This standard aligns with the Third Circuit's emphasis on actual notice over technical compliance with service rules.</w:t>
        <w:br/>
      </w:r>
    </w:p>
    <w:p>
      <w:pPr>
        <w:pStyle w:val="Heading3"/>
        <w:rPr>
          <w:b w:val="0"/>
          <w:i w:val="0"/>
          <w:strike w:val="0"/>
        </w:rPr>
      </w:pPr>
      <w:r>
        <w:rPr>
          <w:b/>
          <w:u w:val="none"/>
        </w:rPr>
        <w:t>Application to Mixed Communication Patterns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When borrowers receive some email communications from lenders but not specific default notices sent to old addresses, courts will likely evaluate whether the lender's overall notice approach was reasonable under the circumstances. The Third Circuit's sliding scale test suggests that ongoing email communications may demonstrate that email notice would have been more likely to reach the borrower than postal notice to an outdated address.</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key inquiry is whether the lender's choice of notice method was reasonably calculated to provide actual notice given the borrower's established communication patterns. If the borrower regularly received and responded to emails from the lender, sending default notices only to an old postal address may not satisfy the commercial reasonableness standard required by SBA regulations </w:t>
      </w:r>
      <w:hyperlink r:id="rId4" w:history="1">
        <w:r>
          <w:rPr>
            <w:rStyle w:val="Hyperlink"/>
            <w:rFonts w:ascii="Arial" w:eastAsia="Times New Roman" w:hAnsi="Arial" w:cs="Arial"/>
            <w:b w:val="0"/>
            <w:i w:val="0"/>
            <w:strike w:val="0"/>
            <w:color w:val="467886"/>
            <w:u w:val="none"/>
          </w:rPr>
          <w:t>13 CFR § 120.535</w:t>
        </w:r>
      </w:hyperlink>
      <w:r>
        <w:rPr>
          <w:rFonts w:ascii="Arial" w:eastAsia="Times New Roman" w:hAnsi="Arial" w:cs="Arial"/>
          <w:b w:val="0"/>
          <w:i w:val="0"/>
          <w:strike w:val="0"/>
          <w:color w:val="1D1D1D"/>
          <w:u w:val="none"/>
        </w:rPr>
        <w:t>.</w:t>
      </w:r>
    </w:p>
    <w:p w:rsidR="000911FB" w:rsidRPr="00E5063B" w:rsidP="000911FB" w14:paraId="5F10F1E7" w14:textId="77777777">
      <w:pPr>
        <w:pStyle w:val="Report-Body"/>
      </w:pPr>
    </w:p>
    <w:p>
      <w:pPr>
        <w:pStyle w:val="Heading3"/>
        <w:rPr>
          <w:b w:val="0"/>
          <w:i w:val="0"/>
          <w:strike w:val="0"/>
        </w:rPr>
      </w:pPr>
      <w:r>
        <w:rPr>
          <w:b/>
          <w:u w:val="none"/>
        </w:rPr>
        <w:t>Administrative Decisions and Guidance</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Under SBA regulations and related precedent, lenders are generally required to provide timely and proper written notice of borrower defaults to the SBA within specified time frames, commonly within 30 to 90 days after default occurrence. However, these regulations primarily serve the purpose of ensuring SBA’s awareness in sufficient time to minimize loss and assist borrowers. The SBA has occasionally waived strict written notice requirements when actual, timely oral or other forms of notice were provided and acknowledged by SBA officials, thereby fulfilling the intended procedural purpose. Where SBA received actual knowledge of default—whether oral, electronic, or written—it has been found that the notice requirement may be considered waived or satisfied, and SBA's guarantee obligations remain intact absent demonstrable harm to the government. Still, formal documentation is emphasized as the preferred practice and necessary for evidentiary purposes. Lenders bear responsibility to establish and retain evidence of default notice delivery to SBA, typically through certified or registered mail or other verifiable means </w:t>
      </w:r>
      <w:hyperlink r:id="rId12" w:history="1">
        <w:r>
          <w:rPr>
            <w:rStyle w:val="Hyperlink"/>
            <w:rFonts w:ascii="Arial" w:eastAsia="Times New Roman" w:hAnsi="Arial" w:cs="Arial"/>
            <w:b w:val="0"/>
            <w:i w:val="0"/>
            <w:strike w:val="0"/>
            <w:color w:val="467886"/>
            <w:u w:val="none"/>
          </w:rPr>
          <w:t>Comp.Gen. B- 188741</w:t>
        </w:r>
      </w:hyperlink>
      <w:r>
        <w:rPr>
          <w:rFonts w:ascii="Arial" w:eastAsia="Times New Roman" w:hAnsi="Arial" w:cs="Arial"/>
          <w:b w:val="0"/>
          <w:i w:val="0"/>
          <w:strike w:val="0"/>
          <w:color w:val="1D1D1D"/>
          <w:u w:val="none"/>
        </w:rPr>
        <w:t xml:space="preserve">, </w:t>
      </w:r>
      <w:hyperlink r:id="rId13" w:history="1">
        <w:r>
          <w:rPr>
            <w:rStyle w:val="Hyperlink"/>
            <w:rFonts w:ascii="Arial" w:eastAsia="Times New Roman" w:hAnsi="Arial" w:cs="Arial"/>
            <w:b w:val="0"/>
            <w:i w:val="0"/>
            <w:strike w:val="0"/>
            <w:color w:val="467886"/>
            <w:u w:val="none"/>
          </w:rPr>
          <w:t>Comp.Gen. B- 187945</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Electronic communications from lenders that do not specifically address a default event have not been identified as sufficient notice to SBA under the regulations. The mere fact a borrower receives emails from the lender, absent explicit communications about default and timely written notice to SBA, would not satisfy either SBA’s default notice requirements or due process mandates. Due process requires that notice be reasonably calculated to inform interested parties; sending default notices to an outdated address without effective alternate delivery could fail this standard. SBA regulations and administrative interpretations emphasize the necessity of proper written notification to preserve guarantee coverage and protect government interests </w:t>
      </w:r>
      <w:hyperlink r:id="rId12" w:history="1">
        <w:r>
          <w:rPr>
            <w:rStyle w:val="Hyperlink"/>
            <w:rFonts w:ascii="Arial" w:eastAsia="Times New Roman" w:hAnsi="Arial" w:cs="Arial"/>
            <w:b w:val="0"/>
            <w:i w:val="0"/>
            <w:strike w:val="0"/>
            <w:color w:val="467886"/>
            <w:u w:val="none"/>
          </w:rPr>
          <w:t>Comp.Gen. B- 188741</w:t>
        </w:r>
      </w:hyperlink>
      <w:r>
        <w:rPr>
          <w:rFonts w:ascii="Arial" w:eastAsia="Times New Roman" w:hAnsi="Arial" w:cs="Arial"/>
          <w:b w:val="0"/>
          <w:i w:val="0"/>
          <w:strike w:val="0"/>
          <w:color w:val="1D1D1D"/>
          <w:u w:val="none"/>
        </w:rPr>
        <w:t>.</w:t>
        <w:br/>
      </w:r>
    </w:p>
    <w:p>
      <w:pPr>
        <w:pStyle w:val="Heading3"/>
        <w:rPr>
          <w:b w:val="0"/>
          <w:i w:val="0"/>
          <w:strike w:val="0"/>
        </w:rPr>
      </w:pPr>
      <w:r>
        <w:rPr>
          <w:b/>
          <w:u w:val="none"/>
        </w:rPr>
        <w:t>Commentary on This Question</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Adequate notice under due process and applicable lending regulations requires that notices of default be sent in a manner reasonably calculated to inform the borrower of the default and afford an opportunity to cure. Courts have held that mailing default notices to a borrower's last known or updated address is constitutionally required under due process, especially when the lender is aware of a different, updated address. For example, in New Jersey, where the landowner's name and address are known, notice by mail is constitutionally required before foreclosure (Montville Tp. v. Block 69, Lot 10) </w:t>
      </w:r>
      <w:hyperlink r:id="rId14" w:history="1">
        <w:r>
          <w:rPr>
            <w:rStyle w:val="Hyperlink"/>
            <w:rFonts w:ascii="Arial" w:eastAsia="Times New Roman" w:hAnsi="Arial" w:cs="Arial"/>
            <w:b w:val="0"/>
            <w:i w:val="0"/>
            <w:strike w:val="0"/>
            <w:color w:val="467886"/>
            <w:u w:val="none"/>
          </w:rPr>
          <w:t>RELAWDIG § 21:62</w:t>
        </w:r>
      </w:hyperlink>
      <w:r>
        <w:rPr>
          <w:rFonts w:ascii="Arial" w:eastAsia="Times New Roman" w:hAnsi="Arial" w:cs="Arial"/>
          <w:b w:val="0"/>
          <w:i w:val="0"/>
          <w:strike w:val="0"/>
          <w:color w:val="1D1D1D"/>
          <w:u w:val="none"/>
        </w:rPr>
        <w:t xml:space="preserve">. Similarly, Pennsylvania courts require that when a returned notice reveals a new address, the lender must forward the notice to the new location to satisfy due process </w:t>
      </w:r>
      <w:hyperlink r:id="rId14" w:history="1">
        <w:r>
          <w:rPr>
            <w:rStyle w:val="Hyperlink"/>
            <w:rFonts w:ascii="Arial" w:eastAsia="Times New Roman" w:hAnsi="Arial" w:cs="Arial"/>
            <w:b w:val="0"/>
            <w:i w:val="0"/>
            <w:strike w:val="0"/>
            <w:color w:val="467886"/>
            <w:u w:val="none"/>
          </w:rPr>
          <w:t>RELAWDIG § 21:62</w:t>
        </w:r>
      </w:hyperlink>
      <w:r>
        <w:rPr>
          <w:rFonts w:ascii="Arial" w:eastAsia="Times New Roman" w:hAnsi="Arial" w:cs="Arial"/>
          <w:b w:val="0"/>
          <w:i w:val="0"/>
          <w:strike w:val="0"/>
          <w:color w:val="1D1D1D"/>
          <w:u w:val="none"/>
        </w:rPr>
        <w:t>. Courts reject mere publication or posting when personal service or mailed notification is practicable.</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Further, actual receipt of email communications from the lender does not substitute for direct notice of default unless the emails specifically inform the borrower of the default and required responses. Separate, clear notices are often required by statute to be mailed in a separate envelope to specified borrower addresses, especially in joint borrower contexts </w:t>
      </w:r>
      <w:hyperlink r:id="rId15" w:history="1">
        <w:r>
          <w:rPr>
            <w:rStyle w:val="Hyperlink"/>
            <w:rFonts w:ascii="Arial" w:eastAsia="Times New Roman" w:hAnsi="Arial" w:cs="Arial"/>
            <w:b w:val="0"/>
            <w:i w:val="0"/>
            <w:strike w:val="0"/>
            <w:color w:val="467886"/>
            <w:u w:val="none"/>
          </w:rPr>
          <w:t>61 A.L.R.7th Art. 3</w:t>
        </w:r>
      </w:hyperlink>
      <w:r>
        <w:rPr>
          <w:rFonts w:ascii="Arial" w:eastAsia="Times New Roman" w:hAnsi="Arial" w:cs="Arial"/>
          <w:b w:val="0"/>
          <w:i w:val="0"/>
          <w:strike w:val="0"/>
          <w:color w:val="1D1D1D"/>
          <w:u w:val="none"/>
        </w:rPr>
        <w:t xml:space="preserve">. Lenders sending default notices to outdated addresses, even when other email communications occur, risk failing the fundamental due process standard of reasonable notice. Compliance in New Jersey courts will strongly lean on mailed notice to the last known address unless the lender has updated information and promptly corrects address errors </w:t>
      </w:r>
      <w:hyperlink r:id="rId14" w:history="1">
        <w:r>
          <w:rPr>
            <w:rStyle w:val="Hyperlink"/>
            <w:rFonts w:ascii="Arial" w:eastAsia="Times New Roman" w:hAnsi="Arial" w:cs="Arial"/>
            <w:b w:val="0"/>
            <w:i w:val="0"/>
            <w:strike w:val="0"/>
            <w:color w:val="467886"/>
            <w:u w:val="none"/>
          </w:rPr>
          <w:t>RELAWDIG § 21:62</w:t>
        </w:r>
      </w:hyperlink>
      <w:r>
        <w:rPr>
          <w:rFonts w:ascii="Arial" w:eastAsia="Times New Roman" w:hAnsi="Arial" w:cs="Arial"/>
          <w:b w:val="0"/>
          <w:i w:val="0"/>
          <w:strike w:val="0"/>
          <w:color w:val="1D1D1D"/>
          <w:u w:val="none"/>
        </w:rPr>
        <w:t>.</w:t>
        <w:br/>
      </w:r>
    </w:p>
    <w:p w:rsidR="008F6E98" w:rsidRPr="000F6139" w:rsidP="000911FB" w14:paraId="1BDDA594" w14:textId="4A1ED078">
      <w:pPr>
        <w:pStyle w:val="Report-Body"/>
        <w:rPr>
          <w:i/>
          <w:iCs/>
          <w:color w:val="626262"/>
        </w:rPr>
      </w:pPr>
      <w:r>
        <w:rPr>
          <w:b w:val="0"/>
          <w:i/>
          <w:strike w:val="0"/>
          <w:color w:val="626262"/>
        </w:rPr>
        <w:t>Generated by AI. Not legal advice. A qualified professional must verify accuracy and legal compliance.</w:t>
      </w:r>
    </w:p>
    <w:p w:rsidR="008F6E98" w:rsidP="00732345" w14:paraId="7F309E74" w14:textId="7FFD4E0F">
      <w:pPr>
        <w:pStyle w:val="Report-Body"/>
      </w:pPr>
    </w:p>
    <w:p w:rsidR="00A703EB" w:rsidP="00732345" w14:paraId="2236D9F8" w14:textId="77777777">
      <w:pPr>
        <w:pStyle w:val="Report-Body"/>
        <w:rPr>
          <w:sz w:val="36"/>
          <w:szCs w:val="36"/>
        </w:rPr>
      </w:pPr>
    </w:p>
    <w:p w:rsidR="000911FB" w:rsidRPr="00E5063B" w:rsidP="000911FB" w14:paraId="016C5B73" w14:textId="5B4649AF">
      <w:pPr>
        <w:pStyle w:val="Report-Body"/>
      </w:pPr>
    </w:p>
    <w:p w:rsidR="000911FB" w:rsidP="00EC22E0" w14:paraId="6971FCAF" w14:textId="1A7F0E9B">
      <w:pPr>
        <w:spacing w:before="113" w:after="113"/>
        <w:rPr>
          <w:rFonts w:eastAsiaTheme="minorEastAsia"/>
          <w:b/>
        </w:rPr>
      </w:pPr>
    </w:p>
    <w:p w:rsidR="000911FB" w:rsidP="000911FB" w14:paraId="54F7B823" w14:textId="77777777">
      <w:pPr>
        <w:pStyle w:val="Report-Heading"/>
        <w:rPr>
          <w:rFonts w:eastAsiaTheme="majorEastAsia"/>
        </w:rPr>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283253753"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8" style="mso-wrap-distance-bottom:0;mso-wrap-distance-left:9pt;mso-wrap-distance-right:9pt;mso-wrap-distance-top:0;mso-wrap-style:square;position:absolute;visibility:visible;z-index:251659264" from="0,0.95pt" to="465pt,0.95pt" strokecolor="black" strokeweight="1.5pt">
                <v:stroke joinstyle="miter"/>
              </v:line>
            </w:pict>
          </mc:Fallback>
        </mc:AlternateContent>
      </w:r>
    </w:p>
    <w:p w:rsidR="000911FB" w:rsidP="000911FB" w14:paraId="3E600C81" w14:textId="77777777">
      <w:pPr>
        <w:pStyle w:val="Report-Heading"/>
      </w:pPr>
      <w:r w:rsidRPr="00956E15">
        <w:rPr>
          <w:rFonts w:eastAsiaTheme="majorEastAsia"/>
        </w:rPr>
        <w:t>Sources (</w:t>
      </w:r>
      <w:r>
        <w:rPr>
          <w:b w:val="0"/>
          <w:i w:val="0"/>
          <w:strike w:val="0"/>
        </w:rPr>
        <w:t>13</w:t>
      </w:r>
      <w:r w:rsidRPr="00956E15">
        <w:t>)</w:t>
      </w:r>
    </w:p>
    <w:p w:rsidR="000911FB" w:rsidRPr="00E5063B" w:rsidP="000911FB" w14:paraId="05CC7906" w14:textId="77777777">
      <w:pPr>
        <w:pStyle w:val="Report-Body"/>
      </w:pPr>
    </w:p>
    <w:p w:rsidR="000911FB" w:rsidP="000911FB" w14:paraId="3D36BA02" w14:textId="03D3B1FE">
      <w:pPr>
        <w:pStyle w:val="Report-Body"/>
      </w:pPr>
      <w:r>
        <w:rPr>
          <w:b/>
          <w:i w:val="0"/>
          <w:strike w:val="0"/>
        </w:rPr>
        <w:t>1</w:t>
      </w:r>
      <w:r w:rsidRPr="00755B14">
        <w:rPr>
          <w:b/>
          <w:bCs/>
        </w:rPr>
        <w:t>.</w:t>
      </w:r>
      <w:r>
        <w:t xml:space="preserve"> </w:t>
      </w:r>
      <w:r>
        <w:t xml:space="preserve"> </w:t>
      </w:r>
      <w:hyperlink r:id="rId4" w:history="1">
        <w:r>
          <w:rPr>
            <w:rStyle w:val="Hyperlink"/>
            <w:b/>
            <w:i w:val="0"/>
            <w:strike w:val="0"/>
            <w:color w:val="467886"/>
            <w:u w:val="single"/>
          </w:rPr>
          <w:t>§ 120.535 Standards for Lender and CDC loan servicing, loan liquidation and debt collection litigation.</w:t>
        </w:r>
      </w:hyperlink>
    </w:p>
    <w:p w:rsidR="000911FB" w:rsidRPr="00C67A9D" w:rsidP="000911FB" w14:paraId="778AA143" w14:textId="43CA2655">
      <w:pPr>
        <w:pStyle w:val="Report-Metadata"/>
        <w:rPr>
          <w:b w:val="0"/>
          <w:bCs w:val="0"/>
        </w:rPr>
      </w:pPr>
      <w:r>
        <w:rPr>
          <w:b/>
          <w:i w:val="0"/>
          <w:strike w:val="0"/>
        </w:rPr>
        <w:t>13 C.F.R. § 120.535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Requiring lenders to service SBA loans in commercially reasonable manner consistent with prudent lending standards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...Lenders and CDCs must service 7(a) and 504 loans in their portfolio no less diligently than their non–SBA portfolio, and in a commercially reasonable manner, consistent with prudent lending standards, and in accordance with Loan Program Requirements....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2</w:t>
      </w:r>
      <w:r w:rsidRPr="00755B14">
        <w:rPr>
          <w:b/>
          <w:bCs/>
        </w:rPr>
        <w:t>.</w:t>
      </w:r>
      <w:r>
        <w:t xml:space="preserve"> </w:t>
      </w:r>
      <w:r>
        <w:t xml:space="preserve"> </w:t>
      </w:r>
      <w:hyperlink r:id="rId5" w:history="1">
        <w:r>
          <w:rPr>
            <w:rStyle w:val="Hyperlink"/>
            <w:b/>
            <w:i w:val="0"/>
            <w:strike w:val="0"/>
            <w:color w:val="467886"/>
            <w:u w:val="single"/>
          </w:rPr>
          <w:t>§ 120.520 Purchase of 7(a) loan guarantees.</w:t>
        </w:r>
      </w:hyperlink>
    </w:p>
    <w:p w:rsidR="000911FB" w:rsidRPr="00C67A9D" w:rsidP="000911FB" w14:textId="43CA2655">
      <w:pPr>
        <w:pStyle w:val="Report-Metadata"/>
        <w:rPr>
          <w:b w:val="0"/>
          <w:bCs w:val="0"/>
        </w:rPr>
      </w:pPr>
      <w:r>
        <w:rPr>
          <w:b/>
          <w:i w:val="0"/>
          <w:strike w:val="0"/>
        </w:rPr>
        <w:t>13 C.F.R. § 120.520</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60-day default period before SBA purchase requests without specifying notice requirements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...(a) When SBA will purchase- (1) For loans approved on or after May 14, 2007. A Lender may demand in writing that SBA honor its guarantee if the Borrower is in default on any installment for more than 60 calendar days (or less if SBA agrees) and the default has not been cured, provided all business personal property securing the defaulted SBA loan has been liquidated. A Lender may also submit a request for purchase of a defaulted 7(a) loan when a Borrower files for federal bankruptcy once a period of at least 60 days has elapsed since the last</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3</w:t>
      </w:r>
      <w:r w:rsidRPr="00755B14">
        <w:rPr>
          <w:b/>
          <w:bCs/>
        </w:rPr>
        <w:t>.</w:t>
      </w:r>
      <w:r>
        <w:t xml:space="preserve"> </w:t>
      </w:r>
      <w:r>
        <w:t xml:space="preserve"> </w:t>
      </w:r>
      <w:hyperlink r:id="rId6" w:history="1">
        <w:r>
          <w:rPr>
            <w:rStyle w:val="Hyperlink"/>
            <w:b/>
            <w:i w:val="0"/>
            <w:strike w:val="0"/>
            <w:color w:val="467886"/>
            <w:u w:val="single"/>
          </w:rPr>
          <w:t>MTAG v. Tao Investments, LLC</w:t>
        </w:r>
      </w:hyperlink>
    </w:p>
    <w:p w:rsidR="000911FB" w:rsidRPr="00C67A9D" w:rsidP="000911FB" w14:textId="43CA2655">
      <w:pPr>
        <w:pStyle w:val="Report-Metadata"/>
        <w:rPr>
          <w:b w:val="0"/>
          <w:bCs w:val="0"/>
        </w:rPr>
      </w:pPr>
      <w:r>
        <w:rPr>
          <w:b/>
          <w:i w:val="0"/>
          <w:strike w:val="0"/>
        </w:rPr>
        <w:t>Superior Court of New Jersey, Appellate Division.</w:t>
      </w:r>
      <w:r w:rsidRPr="00C67A9D">
        <w:rPr>
          <w:b w:val="0"/>
          <w:bCs w:val="0"/>
        </w:rPr>
        <w:t xml:space="preserve">   •   </w:t>
      </w:r>
      <w:r>
        <w:rPr>
          <w:b/>
          <w:i w:val="0"/>
          <w:strike w:val="0"/>
        </w:rPr>
        <w:t>July 10, 2023</w:t>
      </w:r>
      <w:r w:rsidRPr="00C67A9D">
        <w:rPr>
          <w:b w:val="0"/>
          <w:bCs w:val="0"/>
        </w:rPr>
        <w:t xml:space="preserve">   •   </w:t>
      </w:r>
      <w:r>
        <w:rPr>
          <w:b/>
          <w:i w:val="0"/>
          <w:strike w:val="0"/>
        </w:rPr>
        <w:t>476 N.J.Super. 324</w:t>
      </w:r>
      <w:r w:rsidRPr="00C67A9D">
        <w:rPr>
          <w:b w:val="0"/>
          <w:bCs w:val="0"/>
        </w:rPr>
        <w:t xml:space="preserve">   •   </w:t>
      </w:r>
      <w:r>
        <w:rPr>
          <w:b/>
          <w:i w:val="0"/>
          <w:strike w:val="0"/>
        </w:rPr>
        <w:t>299 A.3d 833</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sliding scale test where courts consider actual notice to determine due process violations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...For purposes of determining whether defect in service of process constitutes a denial of due process, there is a sliding scale in which courts consider an individual's actual notice of an action to determine whether due process was violated. U.S. Const. Amend. 14....</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4</w:t>
      </w:r>
      <w:r w:rsidRPr="00755B14">
        <w:rPr>
          <w:b/>
          <w:bCs/>
        </w:rPr>
        <w:t>.</w:t>
      </w:r>
      <w:r>
        <w:t xml:space="preserve"> </w:t>
      </w:r>
      <w:r>
        <w:t xml:space="preserve"> </w:t>
      </w:r>
      <w:hyperlink r:id="rId7" w:history="1">
        <w:r>
          <w:rPr>
            <w:rStyle w:val="Hyperlink"/>
            <w:b/>
            <w:i w:val="0"/>
            <w:strike w:val="0"/>
            <w:color w:val="467886"/>
            <w:u w:val="single"/>
          </w:rPr>
          <w:t>Braverman Kaskey, P.C. v. Toidze</w:t>
        </w:r>
      </w:hyperlink>
    </w:p>
    <w:p w:rsidR="000911FB" w:rsidRPr="00C67A9D" w:rsidP="000911FB" w14:textId="43CA2655">
      <w:pPr>
        <w:pStyle w:val="Report-Metadata"/>
        <w:rPr>
          <w:b w:val="0"/>
          <w:bCs w:val="0"/>
        </w:rPr>
      </w:pPr>
      <w:r>
        <w:rPr>
          <w:b/>
          <w:i w:val="0"/>
          <w:strike w:val="0"/>
        </w:rPr>
        <w:t>United States District Court, E.D. Pennsylvania.</w:t>
      </w:r>
      <w:r w:rsidRPr="00C67A9D">
        <w:rPr>
          <w:b w:val="0"/>
          <w:bCs w:val="0"/>
        </w:rPr>
        <w:t xml:space="preserve">   •   </w:t>
      </w:r>
      <w:r>
        <w:rPr>
          <w:b/>
          <w:i w:val="0"/>
          <w:strike w:val="0"/>
        </w:rPr>
        <w:t>November 19, 2013</w:t>
      </w:r>
      <w:r w:rsidRPr="00C67A9D">
        <w:rPr>
          <w:b w:val="0"/>
          <w:bCs w:val="0"/>
        </w:rPr>
        <w:t xml:space="preserve">   •   </w:t>
      </w:r>
      <w:r>
        <w:rPr>
          <w:b/>
          <w:i w:val="0"/>
          <w:strike w:val="0"/>
        </w:rPr>
        <w:t>Not Reported in F.Supp.2d</w:t>
      </w:r>
      <w:r w:rsidRPr="00C67A9D">
        <w:rPr>
          <w:b w:val="0"/>
          <w:bCs w:val="0"/>
        </w:rPr>
        <w:t xml:space="preserve">   •   </w:t>
      </w:r>
      <w:r>
        <w:rPr>
          <w:b/>
          <w:i w:val="0"/>
          <w:strike w:val="0"/>
        </w:rPr>
        <w:t>2013 WL 6095679</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service reasonably calculated to provide actual notice comports with due process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...3. Service Comported with Due Process. The Court finds that Braverman's service by publication in the Canadian journal comported with due process, especially as the publication notice was supplemented by additional attempts to provide actual notice. Because service was reasonably calculated to provide actual notice of the action against her, entry of default judgment did not violate due process, and no relief is available under Rule 60(b)(4)....</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5</w:t>
      </w:r>
      <w:r w:rsidRPr="00755B14">
        <w:rPr>
          <w:b/>
          <w:bCs/>
        </w:rPr>
        <w:t>.</w:t>
      </w:r>
      <w:r>
        <w:t xml:space="preserve"> </w:t>
      </w:r>
      <w:r>
        <w:t xml:space="preserve"> </w:t>
      </w:r>
      <w:hyperlink r:id="rId8" w:history="1">
        <w:r>
          <w:rPr>
            <w:rStyle w:val="Hyperlink"/>
            <w:b/>
            <w:i w:val="0"/>
            <w:strike w:val="0"/>
            <w:color w:val="467886"/>
            <w:u w:val="single"/>
          </w:rPr>
          <w:t>In re Cyber Litigation Inc.</w:t>
        </w:r>
      </w:hyperlink>
    </w:p>
    <w:p w:rsidR="000911FB" w:rsidRPr="00C67A9D" w:rsidP="000911FB" w14:textId="43CA2655">
      <w:pPr>
        <w:pStyle w:val="Report-Metadata"/>
        <w:rPr>
          <w:b w:val="0"/>
          <w:bCs w:val="0"/>
        </w:rPr>
      </w:pPr>
      <w:r>
        <w:rPr>
          <w:b/>
          <w:i w:val="0"/>
          <w:strike w:val="0"/>
        </w:rPr>
        <w:t>United States Bankruptcy Court, D. Delaware.</w:t>
      </w:r>
      <w:r w:rsidRPr="00C67A9D">
        <w:rPr>
          <w:b w:val="0"/>
          <w:bCs w:val="0"/>
        </w:rPr>
        <w:t xml:space="preserve">   •   </w:t>
      </w:r>
      <w:r>
        <w:rPr>
          <w:b/>
          <w:i w:val="0"/>
          <w:strike w:val="0"/>
        </w:rPr>
        <w:t>October 28, 2021</w:t>
      </w:r>
      <w:r w:rsidRPr="00C67A9D">
        <w:rPr>
          <w:b w:val="0"/>
          <w:bCs w:val="0"/>
        </w:rPr>
        <w:t xml:space="preserve">   •   </w:t>
      </w:r>
      <w:r>
        <w:rPr>
          <w:b/>
          <w:i w:val="0"/>
          <w:strike w:val="0"/>
        </w:rPr>
        <w:t>Not Reported in B.R. Rptr.</w:t>
      </w:r>
      <w:r w:rsidRPr="00C67A9D">
        <w:rPr>
          <w:b w:val="0"/>
          <w:bCs w:val="0"/>
        </w:rPr>
        <w:t xml:space="preserve">   •   </w:t>
      </w:r>
      <w:r>
        <w:rPr>
          <w:b/>
          <w:i w:val="0"/>
          <w:strike w:val="0"/>
        </w:rPr>
        <w:t>2021 WL 5047512</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email notice to actively used address satisfies due process for sophisticated parties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...Related Docket No. 457.AMENDED MEMORANDUM OPINION. Is that email notice good enough? If the only question before the Court were whether the notice satisfied the requirements of due process, this Court would conclude that it was. Due process requires that notice be provided in a means "such as one desirous of actually informing the (party to be bound) might reasonably adopt to accomplish it." Sending an email to an email address that the party actively used would seem to fit that description....</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6</w:t>
      </w:r>
      <w:r w:rsidRPr="00755B14">
        <w:rPr>
          <w:b/>
          <w:bCs/>
        </w:rPr>
        <w:t>.</w:t>
      </w:r>
      <w:r>
        <w:t xml:space="preserve"> </w:t>
      </w:r>
      <w:hyperlink r:id="rId9" w:history="1">
        <w:r>
          <w:pict>
            <v:shape id="_x0000_i1029" type="#_x0000_t75" alt="KeyCite Yellow Flag" style="width:16pt;height:16pt">
              <v:imagedata r:id="rId10" o:title=""/>
            </v:shape>
          </w:pict>
        </w:r>
      </w:hyperlink>
      <w:r>
        <w:t xml:space="preserve"> </w:t>
      </w:r>
      <w:hyperlink r:id="rId11" w:history="1">
        <w:r>
          <w:rPr>
            <w:rStyle w:val="Hyperlink"/>
            <w:b/>
            <w:i w:val="0"/>
            <w:strike w:val="0"/>
            <w:color w:val="467886"/>
            <w:u w:val="single"/>
          </w:rPr>
          <w:t>2A:50-56. Written notice of intent to foreclose;  contents</w:t>
        </w:r>
      </w:hyperlink>
    </w:p>
    <w:p w:rsidR="000911FB" w:rsidRPr="00C67A9D" w:rsidP="000911FB" w14:textId="43CA2655">
      <w:pPr>
        <w:pStyle w:val="Report-Metadata"/>
        <w:rPr>
          <w:b w:val="0"/>
          <w:bCs w:val="0"/>
        </w:rPr>
      </w:pPr>
      <w:r>
        <w:rPr>
          <w:b/>
          <w:i w:val="0"/>
          <w:strike w:val="0"/>
        </w:rPr>
        <w:t>NJ ST 2A:50-56</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Requiring foreclosure notice calculated to make debtor aware of situation with 30-day cure period</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...c. The written notice shall clearly and conspicuously state in a manner calculated to make the debtor aware of the situation: (11) the name and address of the lender and the telephone number of a representative of the lender whom the debtor may contact if the debtor disagrees with the lender's assertion that a default has occurred or the correctness of the mortgage lender's calculation of the amount required to cure the default;...</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7</w:t>
      </w:r>
      <w:r w:rsidRPr="00755B14">
        <w:rPr>
          <w:b/>
          <w:bCs/>
        </w:rPr>
        <w:t>.</w:t>
      </w:r>
      <w:r>
        <w:t xml:space="preserve"> </w:t>
      </w:r>
      <w:r>
        <w:t xml:space="preserve"> </w:t>
      </w:r>
      <w:hyperlink r:id="rId12" w:history="1">
        <w:r>
          <w:rPr>
            <w:rStyle w:val="Hyperlink"/>
            <w:b/>
            <w:i w:val="0"/>
            <w:strike w:val="0"/>
            <w:color w:val="467886"/>
            <w:u w:val="single"/>
          </w:rPr>
          <w:t>BANK OF SALT LAKE, SALT LAKE CITY, UTAH - SBA GUARANTEED LOAN:</w:t>
        </w:r>
      </w:hyperlink>
    </w:p>
    <w:p w:rsidR="000911FB" w:rsidRPr="00C67A9D" w:rsidP="000911FB" w14:textId="43CA2655">
      <w:pPr>
        <w:pStyle w:val="Report-Metadata"/>
        <w:rPr>
          <w:b w:val="0"/>
          <w:bCs w:val="0"/>
        </w:rPr>
      </w:pPr>
      <w:r>
        <w:rPr>
          <w:b/>
          <w:i w:val="0"/>
          <w:strike w:val="0"/>
        </w:rPr>
        <w:t>Comp.Gen.</w:t>
      </w:r>
      <w:r w:rsidRPr="00C67A9D">
        <w:rPr>
          <w:b w:val="0"/>
          <w:bCs w:val="0"/>
        </w:rPr>
        <w:t xml:space="preserve">   •   </w:t>
      </w:r>
      <w:r>
        <w:rPr>
          <w:b/>
          <w:i w:val="0"/>
          <w:strike w:val="0"/>
        </w:rPr>
        <w:t>January 25, 1978</w:t>
      </w:r>
      <w:r w:rsidRPr="00C67A9D">
        <w:rPr>
          <w:b w:val="0"/>
          <w:bCs w:val="0"/>
        </w:rPr>
        <w:t xml:space="preserve">   •   </w:t>
      </w:r>
      <w:r>
        <w:rPr>
          <w:b/>
          <w:i w:val="0"/>
          <w:strike w:val="0"/>
        </w:rPr>
        <w:t>B- 188741</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6</w:t>
            </w:r>
            <w:r>
              <w:rPr>
                <w:rFonts w:ascii="Arial" w:eastAsia="Times New Roman" w:hAnsi="Arial" w:cs="Arial"/>
                <w:b w:val="0"/>
                <w:i w:val="0"/>
                <w:strike w:val="0"/>
                <w:color w:val="1D1D1D"/>
              </w:rPr>
              <w:br/>
              <w:t>...4 WHILE IT IS GENERALLY TRUE THAT A GOVERNMENT OFFICIAL HAS NO AUTHORITY TO WAIVE A REQUIREMENT OF A STATUTORY REGULATION, WE BELIEVE THAT IN THE PARTICULAR CIRCUMSTANCES OF THIS CASE THE REQUIREMENT OF WRITTEN NOTIFICATION, WHICH IS ESSENTIALLY PROCEDURAL, WAS, IN FACT, WAIVED BY SBA AND THAT THE BANK RELIED ON THIS WAIVER. FIRST, IT IS CLEAR BY THE VERY LANGUAGE OF THE SUBMISSION MADE TO US, AS WELL AS THE LOAN SPECIALIST'S REPORT, THAT THE FACT OF THE BANK'S ORAL NOTIFICATION TO SBA HAS BEEN ACKNOWLEDGED BY THAT AGENCY. ALSO, IT DOES NOT</w:t>
              <w:br/>
              <w:br/>
            </w:r>
            <w:r>
              <w:rPr>
                <w:rFonts w:ascii="Arial" w:eastAsia="Times New Roman" w:hAnsi="Arial" w:cs="Arial"/>
                <w:b/>
                <w:i w:val="0"/>
                <w:strike w:val="0"/>
                <w:color w:val="1D1D1D"/>
              </w:rPr>
              <w:t>Supporting section 2 of 6</w:t>
            </w:r>
            <w:r>
              <w:rPr>
                <w:rFonts w:ascii="Arial" w:eastAsia="Times New Roman" w:hAnsi="Arial" w:cs="Arial"/>
                <w:b w:val="0"/>
                <w:i w:val="0"/>
                <w:strike w:val="0"/>
                <w:color w:val="1D1D1D"/>
              </w:rPr>
              <w:br/>
              <w:t>...2 ON MAY 2, 1976, WHEN VILLAGE, LTD. DEFAULTED ON THE INSTANT LOAN, THE APPLICABLE REGULATORY PROVISION, AS WELL AS THE PERTINENT PARAGRAPH IN THE LOAN AGREEMENT, READ IN PERTINENT PART AS FOLLOWS:2‘*** THE GUARANTEE OF ANY LOAN SHALL BE TERMINATED IF WRITTEN NOTIFICATION OF DEFAULT IS NOT RECEIVED BY SBA WITHIN 90 DAYS AFTER UNCURED DEFAULT BY THE BORROWER. LATE RECEIPT OR NONRECEIPT OF SUCH REQUIRED NOTICE WILL BE EXCUSED ONLY WHERE WRITTEN NOTIFICATION WAS SENT BY REGISTERED OR CERTIFIED MAIL NOT LATER THAN THE FIFTH DAY, OR BY MAILGRAM NOT</w:t>
              <w:br/>
              <w:br/>
            </w:r>
            <w:r>
              <w:rPr>
                <w:rFonts w:ascii="Arial" w:eastAsia="Times New Roman" w:hAnsi="Arial" w:cs="Arial"/>
                <w:b/>
                <w:i w:val="0"/>
                <w:strike w:val="0"/>
                <w:color w:val="1D1D1D"/>
              </w:rPr>
              <w:t>Supporting section 3 of 6</w:t>
            </w:r>
            <w:r>
              <w:rPr>
                <w:rFonts w:ascii="Arial" w:eastAsia="Times New Roman" w:hAnsi="Arial" w:cs="Arial"/>
                <w:b w:val="0"/>
                <w:i w:val="0"/>
                <w:strike w:val="0"/>
                <w:color w:val="1D1D1D"/>
              </w:rPr>
              <w:br/>
              <w:t>...3 THIS IS BASICALLY THE POSITION ADVANCED BY SBA'S ACTING DEPUTY GENERAL COUNSEL IN A LEGAL MEMORANDUM CONCERNING SBA'S LIABILITY TO PURCHASE THE INSTANT LOAN:3‘IF, AS A MATTER OF FACT, SBA WAS AWARE OF THE BORROWER'S DEFAULT WITHIN 90-DAYS AFTER PURCHASE OF THE PRINCIPLE AMOUNT OF THE GP (GUARANTEED PORTION) WOULD BE JUSTIFIED, REGARDLESS OF WHEN WRITTEN NOTICE WAS RECEIVED FROM THE BANK. INDEED, IF SBA KNEW OF THE DEFAULT WITHIN 45 DAYS, SBA COULD ALSO PAY INTEREST.3‘IN GIVING TO INFORMAL OR ORAL NOTICE OF DEFAULT THE SAME LEGAL EFFECT AS</w:t>
              <w:br/>
              <w:br/>
            </w:r>
            <w:r>
              <w:rPr>
                <w:rFonts w:ascii="Arial" w:eastAsia="Times New Roman" w:hAnsi="Arial" w:cs="Arial"/>
                <w:b/>
                <w:i w:val="0"/>
                <w:strike w:val="0"/>
                <w:color w:val="1D1D1D"/>
              </w:rPr>
              <w:t>Supporting section 4 of 6</w:t>
            </w:r>
            <w:r>
              <w:rPr>
                <w:rFonts w:ascii="Arial" w:eastAsia="Times New Roman" w:hAnsi="Arial" w:cs="Arial"/>
                <w:b w:val="0"/>
                <w:i w:val="0"/>
                <w:strike w:val="0"/>
                <w:color w:val="1D1D1D"/>
              </w:rPr>
              <w:br/>
              <w:t>...3 ALTHOUGH WE DID INDICATE IN OUR 1976 DECISION, SUPRA, THAT WE WOULD TAKE EXCEPTION TO ANY FUTURE PAYMENTS ON DEFAULTS ARISING THEREAFTER, ‘IF THE NOTICE REQUIREMENTS ARE NOT STRICTLY COMPLIED WITH,‘ THAT DECISION ADDRESSED THE ISSUE OF THE TIMELINESS OF THE REQUIRED NOTICE RATHER THAN ANY SPECIFIED FORM OF NOTICE. MOREOVER, THE PURPOSE OF THE NOTICE REQUIREMENT IS TO INSURE THAT SBA RECEIVES PROMPT NOTICE OF THE BORROWER'S DIFFICULTIES SO AS TO BE ABLE TO PROTECT THE GOVERNMENT'S INTEREST AS WELL AS PROVIDE TIMELY ASSISTANCE TO THE SMALL BUSINESS</w:t>
              <w:br/>
              <w:br/>
            </w:r>
            <w:r>
              <w:rPr>
                <w:rFonts w:ascii="Arial" w:eastAsia="Times New Roman" w:hAnsi="Arial" w:cs="Arial"/>
                <w:b/>
                <w:i w:val="0"/>
                <w:strike w:val="0"/>
                <w:color w:val="1D1D1D"/>
              </w:rPr>
              <w:t>Supporting section 5 of 6</w:t>
            </w:r>
            <w:r>
              <w:rPr>
                <w:rFonts w:ascii="Arial" w:eastAsia="Times New Roman" w:hAnsi="Arial" w:cs="Arial"/>
                <w:b w:val="0"/>
                <w:i w:val="0"/>
                <w:strike w:val="0"/>
                <w:color w:val="1D1D1D"/>
              </w:rPr>
              <w:br/>
              <w:t>...3‘THE PURPOSE OF THE NOTICE REQUIREMENT WRITTEN INTO SBA'S GUARANTEED AGREEMENT IS TO MAKE SURE THE SBA RECEIVES NOTICE OF DEFAULT IN SUFFICIENT TIME TO MINIMIZE ITS PROBABLE LOSS, AND TO TAKE SUCH STEPS AS MIGHT BE NECESSARY TO ASSIST THE SMALL BUSINESS BORROWER; THAT PURPOSE IS SERVED WHEN SBA RECEIVES TIMELY ACTUAL NOTICE, AS SEEMS TO BE THE CASE HERE.‘...</w:t>
              <w:br/>
              <w:br/>
            </w:r>
            <w:r>
              <w:rPr>
                <w:rFonts w:ascii="Arial" w:eastAsia="Times New Roman" w:hAnsi="Arial" w:cs="Arial"/>
                <w:b/>
                <w:i w:val="0"/>
                <w:strike w:val="0"/>
                <w:color w:val="1D1D1D"/>
              </w:rPr>
              <w:t>Supporting section 6 of 6</w:t>
            </w:r>
            <w:r>
              <w:rPr>
                <w:rFonts w:ascii="Arial" w:eastAsia="Times New Roman" w:hAnsi="Arial" w:cs="Arial"/>
                <w:b w:val="0"/>
                <w:i w:val="0"/>
                <w:strike w:val="0"/>
                <w:color w:val="1D1D1D"/>
              </w:rPr>
              <w:br/>
              <w:t>...2 THE QUESTION AS TO SBA'S AUTHORITY TO PURCHASE THE GUARANTEED PORTION OF A LOAN WHEN THE LENDER HAS NOT COMPLIED WITH THE NOTICE REQUIREMENTS SET FORTH IN SBA'S REGULATIONS AS WELL AS THE LOAN GUARANTY AGREEMENT WAS FIRST CONSIDERED IN OUR DECISION B-181432, FEBRUARY 19, 1976. IN THAT DECISION, WE HELD THAT SBA COULD NOT LEGALLY PURCHASE LOANS GUARANTEED PURSUANT TO SECTION 7 OF THE SMALL BUSINESS ACT, AS AMENDED, 15 U.S.C. SEC. 636(A) (1970), UNLESS THE LENDING INSTITUTIONS INVOLVED HAD COMPLIED WITH THE REQUIREMENT THEN SET FORTH IN THE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8</w:t>
      </w:r>
      <w:r w:rsidRPr="00755B14">
        <w:rPr>
          <w:b/>
          <w:bCs/>
        </w:rPr>
        <w:t>.</w:t>
      </w:r>
      <w:r>
        <w:t xml:space="preserve"> </w:t>
      </w:r>
      <w:r>
        <w:t xml:space="preserve"> </w:t>
      </w:r>
      <w:hyperlink r:id="rId13" w:history="1">
        <w:r>
          <w:rPr>
            <w:rStyle w:val="Hyperlink"/>
            <w:b/>
            <w:i w:val="0"/>
            <w:strike w:val="0"/>
            <w:color w:val="467886"/>
            <w:u w:val="single"/>
          </w:rPr>
          <w:t>FIRST NATIONAL BANK OF TAHLEQUAH, OKLAHOMA:</w:t>
        </w:r>
      </w:hyperlink>
    </w:p>
    <w:p w:rsidR="000911FB" w:rsidRPr="00C67A9D" w:rsidP="000911FB" w14:textId="43CA2655">
      <w:pPr>
        <w:pStyle w:val="Report-Metadata"/>
        <w:rPr>
          <w:b w:val="0"/>
          <w:bCs w:val="0"/>
        </w:rPr>
      </w:pPr>
      <w:r>
        <w:rPr>
          <w:b/>
          <w:i w:val="0"/>
          <w:strike w:val="0"/>
        </w:rPr>
        <w:t>Comp.Gen.</w:t>
      </w:r>
      <w:r w:rsidRPr="00C67A9D">
        <w:rPr>
          <w:b w:val="0"/>
          <w:bCs w:val="0"/>
        </w:rPr>
        <w:t xml:space="preserve">   •   </w:t>
      </w:r>
      <w:r>
        <w:rPr>
          <w:b/>
          <w:i w:val="0"/>
          <w:strike w:val="0"/>
        </w:rPr>
        <w:t>March 22, 1977</w:t>
      </w:r>
      <w:r w:rsidRPr="00C67A9D">
        <w:rPr>
          <w:b w:val="0"/>
          <w:bCs w:val="0"/>
        </w:rPr>
        <w:t xml:space="preserve">   •   </w:t>
      </w:r>
      <w:r>
        <w:rPr>
          <w:b/>
          <w:i w:val="0"/>
          <w:strike w:val="0"/>
        </w:rPr>
        <w:t>B- 187945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...5 OUR DECISION OF FEBRUARY 19 DOES NOT DRAW A DISTINCTION BETWEEN NOTICE OF DEFAULT AS TO PRINCIPAL AND NOTICE OF DEFAULT AS TO INTEREST. SIMILARLY, THE APPLICABLE PROVISIONS IN THE SBA REGULATIONS AND THE GUARANTY AGREEMENT THAT WERE IN EFFECT AT THAT TIME DO NOT SUPPORT THE INTERPRETATION THAT THE NOTICE OF DEFAULT FROM A LENDING INSTITUTION HAS TO SPECIFY WHETHER THE BORROWER WAS IN DEFAULT AS TO PRINCIPAL, INTEREST, OR BOTH. TO THE CONTRARY, THE APPLICABLE PROVISION IN THE REGULATIONS THAT WAS IN EFFECT WHEN THE DEFAULT IN QUESTION OCCURRED</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9</w:t>
      </w:r>
      <w:r w:rsidRPr="00755B14">
        <w:rPr>
          <w:b/>
          <w:bCs/>
        </w:rPr>
        <w:t>.</w:t>
      </w:r>
      <w:r>
        <w:t xml:space="preserve"> </w:t>
      </w:r>
      <w:r>
        <w:t xml:space="preserve"> </w:t>
      </w:r>
      <w:hyperlink r:id="rId14" w:history="1">
        <w:r>
          <w:rPr>
            <w:rStyle w:val="Hyperlink"/>
            <w:b/>
            <w:i w:val="0"/>
            <w:strike w:val="0"/>
            <w:color w:val="467886"/>
            <w:u w:val="single"/>
          </w:rPr>
          <w:t>§ 21:62. Notice</w:t>
        </w:r>
      </w:hyperlink>
    </w:p>
    <w:p w:rsidR="000911FB" w:rsidRPr="00C67A9D" w:rsidP="000911FB" w14:textId="43CA2655">
      <w:pPr>
        <w:pStyle w:val="Report-Metadata"/>
        <w:rPr>
          <w:b w:val="0"/>
          <w:bCs w:val="0"/>
        </w:rPr>
      </w:pPr>
      <w:r>
        <w:rPr>
          <w:b/>
          <w:i w:val="0"/>
          <w:strike w:val="0"/>
        </w:rPr>
        <w:t>Real Estate Law Digest, Fourth Edition</w:t>
      </w:r>
      <w:r w:rsidRPr="00C67A9D">
        <w:rPr>
          <w:b w:val="0"/>
          <w:bCs w:val="0"/>
        </w:rPr>
        <w:t xml:space="preserve">   •   </w:t>
      </w:r>
      <w:r>
        <w:rPr>
          <w:b/>
          <w:i w:val="0"/>
          <w:strike w:val="0"/>
        </w:rPr>
        <w:t>RELAWDIG § 21:62</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4</w:t>
            </w:r>
            <w:r>
              <w:rPr>
                <w:rFonts w:ascii="Arial" w:eastAsia="Times New Roman" w:hAnsi="Arial" w:cs="Arial"/>
                <w:b w:val="0"/>
                <w:i w:val="0"/>
                <w:strike w:val="0"/>
                <w:color w:val="1D1D1D"/>
              </w:rPr>
              <w:br/>
              <w:t>...New Jersey. Landowner questioned the constitutionality of an in rem foreclosure act providing for notice by publication and posting where the name and address of the owner appear on the tax rolls. Held: The provision was unconstitutional as a denial of due process under both federal and state constitutions. Where the name and address are known, the owner must receive notice by mail before his right to redeem his property may be foreclosed. Montville Tp. v. Block 69, Lot 10, 74 N.J. 1, 376 A.2 d 909 (1977)....</w:t>
              <w:br/>
              <w:br/>
            </w:r>
            <w:r>
              <w:rPr>
                <w:rFonts w:ascii="Arial" w:eastAsia="Times New Roman" w:hAnsi="Arial" w:cs="Arial"/>
                <w:b/>
                <w:i w:val="0"/>
                <w:strike w:val="0"/>
                <w:color w:val="1D1D1D"/>
              </w:rPr>
              <w:t>Supporting section 2 of 4</w:t>
            </w:r>
            <w:r>
              <w:rPr>
                <w:rFonts w:ascii="Arial" w:eastAsia="Times New Roman" w:hAnsi="Arial" w:cs="Arial"/>
                <w:b w:val="0"/>
                <w:i w:val="0"/>
                <w:strike w:val="0"/>
                <w:color w:val="1D1D1D"/>
              </w:rPr>
              <w:br/>
              <w:t>...Pennsylvania. In June of 1996, RTC issued a writ of execution on property owned by Jack Holzapfel, who was deceased, and mailed the notice to his former address. This notice was returned to RTC by the postal service with a notation that the address was no longer valid and with a forwarding address to Holzapfel's executor. However, RTC did not forward notice of the sale to this address, but proceeded to sell the property. The executor then filed a petition to set aside the divestiture of Holzapfel's mortgage on the property, claiming that the</w:t>
              <w:br/>
              <w:br/>
            </w:r>
            <w:r>
              <w:rPr>
                <w:rFonts w:ascii="Arial" w:eastAsia="Times New Roman" w:hAnsi="Arial" w:cs="Arial"/>
                <w:b/>
                <w:i w:val="0"/>
                <w:strike w:val="0"/>
                <w:color w:val="1D1D1D"/>
              </w:rPr>
              <w:t>Supporting section 3 of 4</w:t>
            </w:r>
            <w:r>
              <w:rPr>
                <w:rFonts w:ascii="Arial" w:eastAsia="Times New Roman" w:hAnsi="Arial" w:cs="Arial"/>
                <w:b w:val="0"/>
                <w:i w:val="0"/>
                <w:strike w:val="0"/>
                <w:color w:val="1D1D1D"/>
              </w:rPr>
              <w:br/>
              <w:t>...New Jersey. Landowner questioned the constitutionality of an in rem foreclosure act providing for notice by publication and posting where the name and address of the owner appear on the tax rolls. Held: The provision was unconstitutional as a denial of due process under both federal and state constitutions. Where the name and address are known, the owner must receive notice by mail before his right to redeem his property may be foreclosed. Montville Tp. v. Block 69, Lot 10, 74 N.J. 1, 376 A.2 d 909 (1977)....</w:t>
              <w:br/>
              <w:br/>
            </w:r>
            <w:r>
              <w:rPr>
                <w:rFonts w:ascii="Arial" w:eastAsia="Times New Roman" w:hAnsi="Arial" w:cs="Arial"/>
                <w:b/>
                <w:i w:val="0"/>
                <w:strike w:val="0"/>
                <w:color w:val="1D1D1D"/>
              </w:rPr>
              <w:t>Supporting section 4 of 4</w:t>
            </w:r>
            <w:r>
              <w:rPr>
                <w:rFonts w:ascii="Arial" w:eastAsia="Times New Roman" w:hAnsi="Arial" w:cs="Arial"/>
                <w:b w:val="0"/>
                <w:i w:val="0"/>
                <w:strike w:val="0"/>
                <w:color w:val="1D1D1D"/>
              </w:rPr>
              <w:br/>
              <w:t>...Pennsylvania. In June of 1996, RTC issued a writ of execution on property owned by Jack Holzapfel, who was deceased, and mailed the notice to his former address. This notice was returned to RTC by the postal service with a notation that the address was no longer valid and with a forwarding address to Holzapfel's executor. However, RTC did not forward notice of the sale to this address, but proceeded to sell the property. The executor then filed a petition to set aside the divestiture of Holzapfel's mortgage on the property, claiming that the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10</w:t>
      </w:r>
      <w:r w:rsidRPr="00755B14">
        <w:rPr>
          <w:b/>
          <w:bCs/>
        </w:rPr>
        <w:t>.</w:t>
      </w:r>
      <w:r>
        <w:t xml:space="preserve"> </w:t>
      </w:r>
      <w:r>
        <w:t xml:space="preserve"> </w:t>
      </w:r>
      <w:hyperlink r:id="rId15" w:history="1">
        <w:r>
          <w:rPr>
            <w:rStyle w:val="Hyperlink"/>
            <w:b/>
            <w:i w:val="0"/>
            <w:strike w:val="0"/>
            <w:color w:val="467886"/>
            <w:u w:val="single"/>
          </w:rPr>
          <w:t>Compliance with Mortgage Statutory Pre-Foreclosure Notice Requirements</w:t>
        </w:r>
      </w:hyperlink>
    </w:p>
    <w:p w:rsidR="000911FB" w:rsidRPr="00C67A9D" w:rsidP="000911FB" w14:textId="43CA2655">
      <w:pPr>
        <w:pStyle w:val="Report-Metadata"/>
        <w:rPr>
          <w:b w:val="0"/>
          <w:bCs w:val="0"/>
        </w:rPr>
      </w:pPr>
      <w:r>
        <w:rPr>
          <w:b/>
          <w:i w:val="0"/>
          <w:strike w:val="0"/>
        </w:rPr>
        <w:t>American Law Reports ALR7th</w:t>
      </w:r>
      <w:r w:rsidRPr="00C67A9D">
        <w:rPr>
          <w:b w:val="0"/>
          <w:bCs w:val="0"/>
        </w:rPr>
        <w:t xml:space="preserve">   •   </w:t>
      </w:r>
      <w:r>
        <w:rPr>
          <w:b/>
          <w:i w:val="0"/>
          <w:strike w:val="0"/>
        </w:rPr>
        <w:t>61 A.L.R.7th Art. 3</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...Wells Fargo Bank, N.A. for Certificate Holders of Merrill Lynch Mortgage Loan Asset-Backed Certificates, Series 2005-HE3 v. Yapkowitz, 59 Misc. 3 d 1227(A), 108 N.Y.S.3 d 290 (Sup 2018) Dismissing an action in foreclosure, the court held that a mortgagee was required to send separate pre-foreclosure notice to spouses who were coborrowers, rejecting a contention that a joint notice addressed to both borrowers was sufficient to comply with statutory notice requirements. The joint notice was mailed by certified mail, and the return receipt bore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pPr>
        <w:pStyle w:val="Report-SubheadLvl1"/>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sz w:val="26"/>
        </w:rPr>
        <w:t>Additional sources</w:t>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rPr>
        <w:t>These sources are not cited in your report, but can provide context that may be helpful.</w:t>
      </w:r>
    </w:p>
    <w:p w:rsidR="000911FB" w:rsidRPr="00E5063B" w:rsidP="000911FB" w14:paraId="5C581A35" w14:textId="77777777">
      <w:pPr>
        <w:spacing w:before="113" w:after="113"/>
        <w:rPr>
          <w:rFonts w:cs="Arial"/>
          <w:b/>
          <w:sz w:val="16"/>
        </w:rPr>
      </w:pPr>
    </w:p>
    <w:p w:rsidR="000911FB" w:rsidP="000911FB" w14:paraId="3AF2579E" w14:textId="03B1B35D">
      <w:pPr>
        <w:pStyle w:val="Report-Body"/>
      </w:pPr>
      <w:r>
        <w:rPr>
          <w:b/>
          <w:i w:val="0"/>
          <w:strike w:val="0"/>
        </w:rPr>
        <w:t>11</w:t>
      </w:r>
      <w:r w:rsidRPr="00755B14">
        <w:rPr>
          <w:b/>
          <w:bCs/>
        </w:rPr>
        <w:t>.</w:t>
      </w:r>
      <w:r w:rsidRPr="00E5063B">
        <w:t xml:space="preserve"> </w:t>
      </w:r>
      <w:r>
        <w:t xml:space="preserve"> </w:t>
      </w:r>
      <w:hyperlink r:id="rId16" w:history="1">
        <w:r>
          <w:rPr>
            <w:rStyle w:val="Hyperlink"/>
            <w:b/>
            <w:i w:val="0"/>
            <w:strike w:val="0"/>
            <w:color w:val="467886"/>
            <w:u w:val="single"/>
          </w:rPr>
          <w:t>When a Borrower is in Default: Lender Checklist</w:t>
        </w:r>
      </w:hyperlink>
    </w:p>
    <w:p w:rsidR="000911FB" w:rsidRPr="00C67A9D" w:rsidP="000911FB" w14:paraId="7E18259B" w14:textId="77777777">
      <w:pPr>
        <w:pStyle w:val="Report-Metadata"/>
        <w:rPr>
          <w:b w:val="0"/>
          <w:bCs w:val="0"/>
        </w:rPr>
      </w:pPr>
      <w:r>
        <w:rPr>
          <w:b/>
          <w:i w:val="0"/>
          <w:strike w:val="0"/>
        </w:rPr>
        <w:t>Checklist</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paraId="7F67AA02"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Checklist of due diligence questions for a lender to consider when a borrower defaults on its loan obligations or a default is imminent. This resource provides a structured framework for the lender's review process after an event of default has occurred. This Checklist is organized into four main sections, guiding the lender through an evaluation of the borrower and other loan parties, the loan documents, the collateral securing the loan, and the borrower's other creditors. It prompts the lender to assess critical issues such as the enforceability</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12</w:t>
      </w:r>
      <w:r w:rsidRPr="00755B14">
        <w:rPr>
          <w:b/>
          <w:bCs/>
        </w:rPr>
        <w:t>.</w:t>
      </w:r>
      <w:r w:rsidRPr="00E5063B">
        <w:t xml:space="preserve"> </w:t>
      </w:r>
      <w:r>
        <w:t xml:space="preserve"> </w:t>
      </w:r>
      <w:hyperlink r:id="rId17" w:history="1">
        <w:r>
          <w:rPr>
            <w:rStyle w:val="Hyperlink"/>
            <w:b/>
            <w:i w:val="0"/>
            <w:strike w:val="0"/>
            <w:color w:val="467886"/>
            <w:u w:val="single"/>
          </w:rPr>
          <w:t>Notice of Default/Reservation of Rights: Lending</w:t>
        </w:r>
      </w:hyperlink>
    </w:p>
    <w:p w:rsidR="000911FB" w:rsidRPr="00C67A9D" w:rsidP="000911FB" w14:textId="77777777">
      <w:pPr>
        <w:pStyle w:val="Report-Metadata"/>
        <w:rPr>
          <w:b w:val="0"/>
          <w:bCs w:val="0"/>
        </w:rPr>
      </w:pPr>
      <w:r>
        <w:rPr>
          <w:b/>
          <w:i w:val="0"/>
          <w:strike w:val="0"/>
        </w:rPr>
        <w:t>Standard Document</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Standard Document providing a form of notice of default, also known as a reservation of rights letter, to be used by a lender or administrative agent when an event of default has occurred under a loan agreement. This Standard Document is drafted for a syndicated US loan transaction but can be adapted for other lending scenarios. It allows the lender to formally record specific details about an event of default and advise the borrower that post-default interest provisions under the credit agreement may apply. A key function of this notice is to</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13</w:t>
      </w:r>
      <w:r w:rsidRPr="00755B14">
        <w:rPr>
          <w:b/>
          <w:bCs/>
        </w:rPr>
        <w:t>.</w:t>
      </w:r>
      <w:r w:rsidRPr="00E5063B">
        <w:t xml:space="preserve"> </w:t>
      </w:r>
      <w:r>
        <w:t xml:space="preserve"> </w:t>
      </w:r>
      <w:hyperlink r:id="rId18" w:history="1">
        <w:r>
          <w:rPr>
            <w:rStyle w:val="Hyperlink"/>
            <w:b/>
            <w:i w:val="0"/>
            <w:strike w:val="0"/>
            <w:color w:val="467886"/>
            <w:u w:val="single"/>
          </w:rPr>
          <w:t>Commercial Mortgage Loan Crisis Management Checklist (Lender)</w:t>
        </w:r>
      </w:hyperlink>
    </w:p>
    <w:p w:rsidR="000911FB" w:rsidRPr="00C67A9D" w:rsidP="000911FB" w14:textId="77777777">
      <w:pPr>
        <w:pStyle w:val="Report-Metadata"/>
        <w:rPr>
          <w:b w:val="0"/>
          <w:bCs w:val="0"/>
        </w:rPr>
      </w:pPr>
      <w:r>
        <w:rPr>
          <w:b/>
          <w:i w:val="0"/>
          <w:strike w:val="0"/>
        </w:rPr>
        <w:t>Checklist</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Checklist itemizing the steps and actions commercial mortgage lenders can take to address  actual or imminent loan defaults caused by a major disruption to rental income due to conditions outside the borrower's control, like a recession, a real estate market downturn, or tenant bankruptcies or defaults.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F3725" w14:paraId="7E7DF2DC" w14:textId="29C35765">
      <w:pPr>
        <w:pStyle w:val="Report-Body"/>
      </w:pP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000000"/>
          <w:sz w:val="36"/>
        </w:rPr>
        <w:t>Research Steps</w:t>
        <w:br/>
      </w:r>
    </w:p>
    <w:p>
      <w:pPr>
        <w:numPr>
          <w:ilvl w:val="0"/>
          <w:numId w:val="34"/>
        </w:numPr>
        <w:rPr>
          <w:b w:val="0"/>
          <w:i w:val="0"/>
          <w:strike w:val="0"/>
        </w:rPr>
      </w:pPr>
      <w:r>
        <w:rPr>
          <w:rFonts w:ascii="Arial" w:eastAsia="Times New Roman" w:hAnsi="Arial" w:cs="Arial"/>
          <w:b w:val="0"/>
          <w:i w:val="0"/>
          <w:strike w:val="0"/>
          <w:color w:val="1D1D1D"/>
        </w:rPr>
        <w:t>Researching SBA regulations regarding notice requirements for loan defaults, including specific provisions on acceptable methods of notice delivery and timing requirements under 13 C.F.R. Part 120.</w:t>
      </w:r>
    </w:p>
    <w:p>
      <w:pPr>
        <w:numPr>
          <w:ilvl w:val="1"/>
          <w:numId w:val="34"/>
        </w:numPr>
        <w:rPr>
          <w:b w:val="0"/>
          <w:i w:val="0"/>
          <w:strike w:val="0"/>
        </w:rPr>
      </w:pPr>
      <w:r>
        <w:rPr>
          <w:rFonts w:ascii="Arial" w:eastAsia="Times New Roman" w:hAnsi="Arial" w:cs="Arial"/>
          <w:b w:val="0"/>
          <w:i w:val="0"/>
          <w:strike w:val="0"/>
          <w:color w:val="1D1D1D"/>
        </w:rPr>
        <w:t>Found SBA regulations in 13 C.F.R. § 120.520 requiring 60-day default before purchase request, but no specific notice delivery requirements. Need to analyze specific notice provisions.</w:t>
      </w:r>
    </w:p>
    <w:p>
      <w:pPr>
        <w:numPr>
          <w:ilvl w:val="0"/>
          <w:numId w:val="34"/>
        </w:numPr>
        <w:rPr>
          <w:b w:val="0"/>
          <w:i w:val="0"/>
          <w:strike w:val="0"/>
        </w:rPr>
      </w:pPr>
      <w:r>
        <w:rPr>
          <w:rFonts w:ascii="Arial" w:eastAsia="Times New Roman" w:hAnsi="Arial" w:cs="Arial"/>
          <w:b w:val="0"/>
          <w:i w:val="0"/>
          <w:strike w:val="0"/>
          <w:color w:val="1D1D1D"/>
        </w:rPr>
        <w:t>Examining New Jersey state law requirements for adequate notice in loan default proceedings, including statutory provisions governing notice to borrowers and acceptable methods of service.</w:t>
      </w:r>
    </w:p>
    <w:p>
      <w:pPr>
        <w:numPr>
          <w:ilvl w:val="1"/>
          <w:numId w:val="34"/>
        </w:numPr>
        <w:rPr>
          <w:b w:val="0"/>
          <w:i w:val="0"/>
          <w:strike w:val="0"/>
        </w:rPr>
      </w:pPr>
      <w:r>
        <w:rPr>
          <w:rFonts w:ascii="Arial" w:eastAsia="Times New Roman" w:hAnsi="Arial" w:cs="Arial"/>
          <w:b w:val="0"/>
          <w:i w:val="0"/>
          <w:strike w:val="0"/>
          <w:color w:val="1D1D1D"/>
        </w:rPr>
        <w:t>New Jersey foreclosure law (N.J. Stat. Ann. § 2A:50-56) requires written notice "calculated to make the debtor aware of the situation" with 30-day cure period. Notice must be to address/phone of lender representative.</w:t>
      </w:r>
    </w:p>
    <w:p>
      <w:pPr>
        <w:numPr>
          <w:ilvl w:val="0"/>
          <w:numId w:val="34"/>
        </w:numPr>
        <w:rPr>
          <w:b w:val="0"/>
          <w:i w:val="0"/>
          <w:strike w:val="0"/>
        </w:rPr>
      </w:pPr>
      <w:r>
        <w:rPr>
          <w:rFonts w:ascii="Arial" w:eastAsia="Times New Roman" w:hAnsi="Arial" w:cs="Arial"/>
          <w:b w:val="0"/>
          <w:i w:val="0"/>
          <w:strike w:val="0"/>
          <w:color w:val="1D1D1D"/>
        </w:rPr>
        <w:t>Analyzing Third Circuit precedent on due process notice requirements in loan default cases, focusing on adequacy of notice standards when borrowers have changed addresses.</w:t>
      </w:r>
    </w:p>
    <w:p>
      <w:pPr>
        <w:numPr>
          <w:ilvl w:val="1"/>
          <w:numId w:val="34"/>
        </w:numPr>
        <w:rPr>
          <w:b w:val="0"/>
          <w:i w:val="0"/>
          <w:strike w:val="0"/>
        </w:rPr>
      </w:pPr>
      <w:r>
        <w:rPr>
          <w:rFonts w:ascii="Arial" w:eastAsia="Times New Roman" w:hAnsi="Arial" w:cs="Arial"/>
          <w:b w:val="0"/>
          <w:i w:val="0"/>
          <w:strike w:val="0"/>
          <w:color w:val="1D1D1D"/>
        </w:rPr>
        <w:t>Third Circuit follows sliding scale test for due process notice - actual notice matters more than technical compliance. Cases show defective service not per se violation if borrower had actual notice.</w:t>
      </w:r>
    </w:p>
    <w:p>
      <w:pPr>
        <w:numPr>
          <w:ilvl w:val="0"/>
          <w:numId w:val="34"/>
        </w:numPr>
        <w:rPr>
          <w:b w:val="0"/>
          <w:i w:val="0"/>
          <w:strike w:val="0"/>
        </w:rPr>
      </w:pPr>
      <w:r>
        <w:rPr>
          <w:rFonts w:ascii="Arial" w:eastAsia="Times New Roman" w:hAnsi="Arial" w:cs="Arial"/>
          <w:b w:val="0"/>
          <w:i w:val="0"/>
          <w:strike w:val="0"/>
          <w:color w:val="1D1D1D"/>
        </w:rPr>
        <w:t>Investigating SBA regulatory guidance and case law interpreting what constitutes "adequate notice" when borrowers receive some communications from lenders but not specific default notices.</w:t>
      </w:r>
    </w:p>
    <w:p>
      <w:pPr>
        <w:numPr>
          <w:ilvl w:val="1"/>
          <w:numId w:val="34"/>
        </w:numPr>
        <w:rPr>
          <w:b w:val="0"/>
          <w:i w:val="0"/>
          <w:strike w:val="0"/>
        </w:rPr>
      </w:pPr>
      <w:r>
        <w:rPr>
          <w:rFonts w:ascii="Arial" w:eastAsia="Times New Roman" w:hAnsi="Arial" w:cs="Arial"/>
          <w:b w:val="0"/>
          <w:i w:val="0"/>
          <w:strike w:val="0"/>
          <w:color w:val="1D1D1D"/>
        </w:rPr>
        <w:t>Found email notice can satisfy due process in bankruptcy case (In re Cyber Litigation). Email to actively used address deemed adequate where party is sophisticated and moves frequently.</w:t>
      </w:r>
    </w:p>
    <w:p>
      <w:pPr>
        <w:numPr>
          <w:ilvl w:val="0"/>
          <w:numId w:val="34"/>
        </w:numPr>
        <w:rPr>
          <w:b w:val="0"/>
          <w:i w:val="0"/>
          <w:strike w:val="0"/>
        </w:rPr>
      </w:pPr>
      <w:r>
        <w:rPr>
          <w:rFonts w:ascii="Arial" w:eastAsia="Times New Roman" w:hAnsi="Arial" w:cs="Arial"/>
          <w:b w:val="0"/>
          <w:i w:val="0"/>
          <w:strike w:val="0"/>
          <w:color w:val="1D1D1D"/>
        </w:rPr>
        <w:t>Researching Third Circuit and New Jersey federal district court decisions addressing due process challenges to loan default notices sent to outdated addresses while other communications reach the borrower.</w:t>
      </w:r>
    </w:p>
    <w:p>
      <w:pPr>
        <w:numPr>
          <w:ilvl w:val="1"/>
          <w:numId w:val="34"/>
        </w:numPr>
        <w:rPr>
          <w:b w:val="0"/>
          <w:i w:val="0"/>
          <w:strike w:val="0"/>
        </w:rPr>
      </w:pPr>
      <w:r>
        <w:rPr>
          <w:rFonts w:ascii="Arial" w:eastAsia="Times New Roman" w:hAnsi="Arial" w:cs="Arial"/>
          <w:b w:val="0"/>
          <w:i w:val="0"/>
          <w:strike w:val="0"/>
          <w:color w:val="1D1D1D"/>
        </w:rPr>
        <w:t>Third Circuit cases show sliding scale approach - actual notice more important than perfect compliance. Email notice acceptable for sophisticated parties with established email use patterns.</w:t>
      </w:r>
    </w:p>
    <w:p>
      <w:pPr>
        <w:numPr>
          <w:ilvl w:val="0"/>
          <w:numId w:val="34"/>
        </w:numPr>
        <w:rPr>
          <w:b w:val="0"/>
          <w:i w:val="0"/>
          <w:strike w:val="0"/>
        </w:rPr>
      </w:pPr>
      <w:r>
        <w:rPr>
          <w:rFonts w:ascii="Arial" w:eastAsia="Times New Roman" w:hAnsi="Arial" w:cs="Arial"/>
          <w:b w:val="0"/>
          <w:i w:val="0"/>
          <w:strike w:val="0"/>
          <w:color w:val="1D1D1D"/>
        </w:rPr>
        <w:t>Examining whether SBA regulations impose specific obligations on lenders to verify current borrower addresses before sending default notices, including any requirements for reasonable efforts to locate current addresses.</w:t>
      </w:r>
    </w:p>
    <w:p>
      <w:pPr>
        <w:numPr>
          <w:ilvl w:val="1"/>
          <w:numId w:val="34"/>
        </w:numPr>
        <w:rPr>
          <w:b w:val="0"/>
          <w:i w:val="0"/>
          <w:strike w:val="0"/>
        </w:rPr>
      </w:pPr>
      <w:r>
        <w:rPr>
          <w:rFonts w:ascii="Arial" w:eastAsia="Times New Roman" w:hAnsi="Arial" w:cs="Arial"/>
          <w:b w:val="0"/>
          <w:i w:val="0"/>
          <w:strike w:val="0"/>
          <w:color w:val="1D1D1D"/>
        </w:rPr>
        <w:t>SBA regulations do not impose specific address verification requirements. Lenders must follow "commercially reasonable" and "prudent lending standards" per 13 C.F.R. § 120.535.</w:t>
      </w:r>
    </w:p>
    <w:p>
      <w:pPr>
        <w:numPr>
          <w:ilvl w:val="0"/>
          <w:numId w:val="34"/>
        </w:numPr>
        <w:rPr>
          <w:b w:val="0"/>
          <w:i w:val="0"/>
          <w:strike w:val="0"/>
        </w:rPr>
      </w:pPr>
      <w:r>
        <w:rPr>
          <w:rFonts w:ascii="Arial" w:eastAsia="Times New Roman" w:hAnsi="Arial" w:cs="Arial"/>
          <w:b w:val="0"/>
          <w:i w:val="0"/>
          <w:strike w:val="0"/>
          <w:color w:val="1D1D1D"/>
        </w:rPr>
        <w:t>Analyzing case law in the Third Circuit regarding the sufficiency of notice when borrowers demonstrate actual knowledge of lender communications but claim lack of notice of specific default proceedings.</w:t>
      </w:r>
    </w:p>
    <w:p>
      <w:pPr>
        <w:numPr>
          <w:ilvl w:val="1"/>
          <w:numId w:val="34"/>
        </w:numPr>
        <w:rPr>
          <w:b w:val="0"/>
          <w:i w:val="0"/>
          <w:strike w:val="0"/>
        </w:rPr>
      </w:pPr>
      <w:r>
        <w:rPr>
          <w:rFonts w:ascii="Arial" w:eastAsia="Times New Roman" w:hAnsi="Arial" w:cs="Arial"/>
          <w:b w:val="0"/>
          <w:i w:val="0"/>
          <w:strike w:val="0"/>
          <w:color w:val="1D1D1D"/>
        </w:rPr>
        <w:t>Third Circuit applies sliding scale test - actual notice more important than technical compliance. Cases show email notice adequate for sophisticated parties who use email regularly, even if postal notice fails.</w:t>
        <w:br/>
      </w:r>
    </w:p>
    <w:p w:rsidR="00266DD2" w:rsidP="00266DD2" w14:paraId="7D0BA273" w14:textId="0D6FC439">
      <w:pPr>
        <w:pStyle w:val="Report-Body"/>
        <w:rPr>
          <w:rFonts w:asciiTheme="minorHAnsi" w:eastAsiaTheme="minorHAnsi" w:hAnsiTheme="minorHAnsi" w:cstheme="minorBidi"/>
          <w:color w:val="auto"/>
          <w:kern w:val="2"/>
          <w:szCs w:val="24"/>
          <w14:ligatures w14:val="standardContextual"/>
        </w:rPr>
      </w:pPr>
      <w:r>
        <w:br/>
      </w:r>
      <w:r>
        <w:rPr>
          <w:noProof/>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244475</wp:posOffset>
                </wp:positionV>
                <wp:extent cx="5905500" cy="0"/>
                <wp:effectExtent l="0" t="12700" r="12700" b="12700"/>
                <wp:wrapNone/>
                <wp:docPr id="708621368"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30" style="mso-wrap-distance-bottom:0;mso-wrap-distance-left:9pt;mso-wrap-distance-right:9pt;mso-wrap-distance-top:0;mso-wrap-style:square;position:absolute;visibility:visible;z-index:251663360" from="0,19.25pt" to="465pt,19.25pt" strokecolor="black" strokeweight="1.5pt">
                <v:stroke joinstyle="miter"/>
              </v:line>
            </w:pict>
          </mc:Fallback>
        </mc:AlternateContent>
      </w: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hAnsi="Arial" w:cs="Arial"/>
          <w:b w:val="0"/>
          <w:i w:val="0"/>
          <w:strike w:val="0"/>
          <w:color w:val="000000"/>
          <w:sz w:val="36"/>
        </w:rPr>
        <w:t>Questions for further research</w:t>
        <w:br/>
      </w:r>
    </w:p>
    <w:p>
      <w:pPr>
        <w:numPr>
          <w:ilvl w:val="0"/>
          <w:numId w:val="33"/>
        </w:numPr>
        <w:rPr>
          <w:b w:val="0"/>
          <w:i w:val="0"/>
          <w:strike w:val="0"/>
        </w:rPr>
      </w:pPr>
      <w:r>
        <w:rPr>
          <w:rFonts w:ascii="Arial" w:hAnsi="Arial" w:cs="Arial"/>
          <w:b/>
          <w:i w:val="0"/>
          <w:strike w:val="0"/>
          <w:color w:val="1D1D1D"/>
        </w:rPr>
        <w:t>What specific types of email communications did you receive from the lender, and how frequently did you receive them before the alleged default period?</w:t>
      </w:r>
    </w:p>
    <w:p>
      <w:pPr>
        <w:numPr>
          <w:ilvl w:val="0"/>
          <w:numId w:val="33"/>
        </w:numPr>
        <w:rPr>
          <w:b w:val="0"/>
          <w:i w:val="0"/>
          <w:strike w:val="0"/>
        </w:rPr>
      </w:pPr>
      <w:r>
        <w:rPr>
          <w:rFonts w:ascii="Arial" w:hAnsi="Arial" w:cs="Arial"/>
          <w:b/>
          <w:i w:val="0"/>
          <w:strike w:val="0"/>
          <w:color w:val="1D1D1D"/>
        </w:rPr>
        <w:t>Did you ever notify the lender of your address change, and if so, when and how did you provide this notification?</w:t>
      </w:r>
    </w:p>
    <w:p>
      <w:pPr>
        <w:numPr>
          <w:ilvl w:val="0"/>
          <w:numId w:val="33"/>
        </w:numPr>
        <w:rPr>
          <w:b w:val="0"/>
          <w:i w:val="0"/>
          <w:strike w:val="0"/>
        </w:rPr>
      </w:pPr>
      <w:r>
        <w:rPr>
          <w:rFonts w:ascii="Arial" w:hAnsi="Arial" w:cs="Arial"/>
          <w:b/>
          <w:i w:val="0"/>
          <w:strike w:val="0"/>
          <w:color w:val="1D1D1D"/>
        </w:rPr>
        <w:t>What was your last known postal address on file with the lender, and when did you move from that address?</w:t>
      </w:r>
    </w:p>
    <w:p>
      <w:pPr>
        <w:numPr>
          <w:ilvl w:val="0"/>
          <w:numId w:val="33"/>
        </w:numPr>
        <w:rPr>
          <w:b w:val="0"/>
          <w:i w:val="0"/>
          <w:strike w:val="0"/>
        </w:rPr>
      </w:pPr>
      <w:r>
        <w:rPr>
          <w:rFonts w:ascii="Arial" w:hAnsi="Arial" w:cs="Arial"/>
          <w:b/>
          <w:i w:val="0"/>
          <w:strike w:val="0"/>
          <w:color w:val="1D1D1D"/>
        </w:rPr>
        <w:t>Did you maintain the same email address throughout your relationship with the lender, including during the default period?</w:t>
      </w:r>
    </w:p>
    <w:p>
      <w:pPr>
        <w:numPr>
          <w:ilvl w:val="0"/>
          <w:numId w:val="33"/>
        </w:numPr>
        <w:rPr>
          <w:b w:val="0"/>
          <w:i w:val="0"/>
          <w:strike w:val="0"/>
        </w:rPr>
      </w:pPr>
      <w:r>
        <w:rPr>
          <w:rFonts w:ascii="Arial" w:hAnsi="Arial" w:cs="Arial"/>
          <w:b/>
          <w:i w:val="0"/>
          <w:strike w:val="0"/>
          <w:color w:val="1D1D1D"/>
        </w:rPr>
        <w:t>Do you have records showing whether you opened, read, or responded to any emails from the lender during the months preceding the default notice period?</w:t>
      </w:r>
      <w:r>
        <w:rPr>
          <w:rFonts w:ascii="Arial" w:hAnsi="Arial" w:cs="Arial"/>
          <w:b w:val="0"/>
          <w:i w:val="0"/>
          <w:strike w:val="0"/>
          <w:color w:val="1D1D1D"/>
        </w:rPr>
        <w:br/>
        <w:br/>
      </w:r>
    </w:p>
    <w:p w:rsidR="00266DD2" w:rsidP="00266DD2" w14:paraId="1EC8BF0B" w14:textId="77777777">
      <w:pPr>
        <w:pStyle w:val="Report-Body"/>
        <w:rPr>
          <w:rFonts w:eastAsiaTheme="minorHAnsi"/>
        </w:rPr>
      </w:pPr>
      <w:r w:rsidRPr="007A4513">
        <w:rPr>
          <w:rFonts w:eastAsiaTheme="minorHAnsi"/>
        </w:rPr>
        <w:t xml:space="preserve"> </w:t>
      </w:r>
    </w:p>
    <w:p w:rsidR="00F3378D" w:rsidRPr="000E6B43" w:rsidP="00CD7BBC" w14:paraId="7B361FDD" w14:textId="1EF80FA4">
      <w:pPr>
        <w:pStyle w:val="Report-Body"/>
      </w:pPr>
    </w:p>
    <w:p w:rsidR="007E5AC0" w:rsidRPr="00A610D3" w:rsidP="00A610D3" w14:paraId="77A3323A" w14:textId="77777777"/>
    <w:sectPr w:rsidSect="00B62FF8">
      <w:headerReference w:type="default" r:id="rId19"/>
      <w:footerReference w:type="even" r:id="rId20"/>
      <w:footerReference w:type="default" r:id="rId21"/>
      <w:pgSz w:w="12240" w:h="15840"/>
      <w:pgMar w:top="1440" w:right="1440" w:bottom="1440" w:left="1440" w:header="737"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P="0071770E" w14:paraId="7161748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1770E" w:rsidRPr="00CA3A86" w:rsidP="00266D65" w14:paraId="0BA2D906" w14:textId="77501D8E">
    <w:pPr>
      <w:pStyle w:val="Footer"/>
      <w:rPr>
        <w:rStyle w:val="PageNumber"/>
        <w:rFonts w:ascii="Arial" w:hAnsi="Arial" w:cs="Arial"/>
        <w:sz w:val="18"/>
        <w:szCs w:val="18"/>
      </w:rPr>
    </w:pPr>
  </w:p>
  <w:p w:rsidR="00266D65" w:rsidRPr="00CA3A86" w:rsidP="004A573A" w14:paraId="76D473BF" w14:textId="56E8A3DF">
    <w:pPr>
      <w:pStyle w:val="Footer"/>
      <w:rPr>
        <w:rStyle w:val="PageNumber"/>
        <w:rFonts w:ascii="Arial" w:hAnsi="Arial" w:cs="Arial"/>
        <w:sz w:val="18"/>
        <w:szCs w:val="18"/>
      </w:rPr>
    </w:pPr>
    <w:r w:rsidRPr="00CA3A86">
      <w:rPr>
        <w:rFonts w:ascii="Arial" w:hAnsi="Arial" w:cs="Arial"/>
        <w:noProof/>
        <w:sz w:val="18"/>
        <w:szCs w:val="18"/>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-92710</wp:posOffset>
              </wp:positionV>
              <wp:extent cx="5933440" cy="2918"/>
              <wp:effectExtent l="0" t="12700" r="22860" b="22860"/>
              <wp:wrapNone/>
              <wp:docPr id="209175415" name="Straight Connector 23"/>
              <wp:cNvGraphicFramePr/>
              <a:graphic xmlns:a="http://schemas.openxmlformats.org/drawingml/2006/main">
                <a:graphicData uri="http://schemas.microsoft.com/office/word/2010/wordprocessingShape">
                  <wps:wsp xmlns:wps="http://schemas.microsoft.com/office/word/2010/wordprocessingShape">
                    <wps:cNvCnPr/>
                    <wps:spPr>
                      <a:xfrm flipV="1">
                        <a:off x="0" y="0"/>
                        <a:ext cx="5933440" cy="2918"/>
                      </a:xfrm>
                      <a:prstGeom prst="line">
                        <a:avLst/>
                      </a:prstGeom>
                      <a:ln>
                        <a:solidFill>
                          <a:schemeClr val="bg2">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2049" style="flip:y;mso-height-percent:0;mso-height-relative:margin;mso-width-percent:0;mso-width-relative:margin;mso-wrap-distance-bottom:0;mso-wrap-distance-left:9pt;mso-wrap-distance-right:9pt;mso-wrap-distance-top:0;mso-wrap-style:square;position:absolute;visibility:visible;z-index:251659264" from="0,-7.3pt" to="467.2pt,-7.05pt" strokecolor="#737373" strokeweight="1.5pt">
              <v:stroke joinstyle="miter"/>
            </v:line>
          </w:pict>
        </mc:Fallback>
      </mc:AlternateContent>
    </w:r>
    <w:r w:rsidRPr="00CA3A86" w:rsidR="002233E3">
      <w:rPr>
        <w:rFonts w:ascii="Arial" w:hAnsi="Arial" w:cs="Arial"/>
        <w:sz w:val="18"/>
        <w:szCs w:val="18"/>
      </w:rPr>
      <w:t xml:space="preserve"> </w:t>
    </w:r>
    <w:r>
      <w:rPr>
        <w:rFonts w:ascii="Arial" w:hAnsi="Arial" w:cs="Arial"/>
        <w:b w:val="0"/>
        <w:i w:val="0"/>
        <w:strike w:val="0"/>
        <w:sz w:val="18"/>
      </w:rPr>
      <w:t>Westlaw Advantage</w:t>
    </w:r>
    <w:r w:rsidRPr="00CA3A86" w:rsidR="002233E3">
      <w:rPr>
        <w:rFonts w:ascii="Arial" w:hAnsi="Arial" w:cs="Arial"/>
        <w:sz w:val="18"/>
        <w:szCs w:val="18"/>
      </w:rPr>
      <w:t xml:space="preserve">. © </w:t>
    </w:r>
    <w:r>
      <w:rPr>
        <w:rFonts w:ascii="Arial" w:hAnsi="Arial" w:cs="Arial"/>
        <w:b w:val="0"/>
        <w:i w:val="0"/>
        <w:strike w:val="0"/>
        <w:sz w:val="18"/>
      </w:rPr>
      <w:t>2026</w:t>
    </w:r>
    <w:r w:rsidRPr="00CA3A86" w:rsidR="002233E3">
      <w:rPr>
        <w:rFonts w:ascii="Arial" w:hAnsi="Arial" w:cs="Arial"/>
        <w:sz w:val="18"/>
        <w:szCs w:val="18"/>
      </w:rPr>
      <w:t xml:space="preserve"> Thomson Reuters. No claim to original U.S. Government Works.</w:t>
    </w:r>
    <w:r w:rsidR="004A573A">
      <w:rPr>
        <w:rFonts w:ascii="Arial" w:hAnsi="Arial" w:cs="Arial"/>
        <w:sz w:val="18"/>
        <w:szCs w:val="18"/>
      </w:rPr>
      <w:tab/>
    </w:r>
    <w:r w:rsidRPr="004A573A" w:rsidR="004A573A">
      <w:rPr>
        <w:rFonts w:ascii="Arial" w:hAnsi="Arial" w:cs="Arial"/>
        <w:sz w:val="18"/>
        <w:szCs w:val="18"/>
      </w:rPr>
      <w:fldChar w:fldCharType="begin"/>
    </w:r>
    <w:r w:rsidRPr="004A573A" w:rsidR="004A573A">
      <w:rPr>
        <w:rFonts w:ascii="Arial" w:hAnsi="Arial" w:cs="Arial"/>
        <w:sz w:val="18"/>
        <w:szCs w:val="18"/>
      </w:rPr>
      <w:instrText xml:space="preserve"> PAGE   \* MERGEFORMAT </w:instrText>
    </w:r>
    <w:r w:rsidRPr="004A573A" w:rsidR="004A573A">
      <w:rPr>
        <w:rFonts w:ascii="Arial" w:hAnsi="Arial" w:cs="Arial"/>
        <w:sz w:val="18"/>
        <w:szCs w:val="18"/>
      </w:rPr>
      <w:fldChar w:fldCharType="separate"/>
    </w:r>
    <w:r w:rsidRPr="004A573A" w:rsidR="004A573A">
      <w:rPr>
        <w:rFonts w:ascii="Arial" w:hAnsi="Arial" w:cs="Arial"/>
        <w:noProof/>
        <w:sz w:val="18"/>
        <w:szCs w:val="18"/>
      </w:rPr>
      <w:t>14</w:t>
    </w:r>
    <w:r w:rsidRPr="004A573A" w:rsidR="004A573A">
      <w:rPr>
        <w:rFonts w:ascii="Arial" w:hAnsi="Arial" w:cs="Arial"/>
        <w:noProof/>
        <w:sz w:val="18"/>
        <w:szCs w:val="18"/>
      </w:rPr>
      <w:fldChar w:fldCharType="end"/>
    </w:r>
  </w:p>
  <w:p w:rsidR="00FB3768" w:rsidRPr="00CA3A86" w:rsidP="00266D65" w14:paraId="6F178050" w14:textId="4F694DA3">
    <w:pPr>
      <w:pStyle w:val="Footer"/>
      <w:rPr>
        <w:rFonts w:ascii="Arial" w:hAnsi="Arial" w:cs="Arial"/>
        <w:sz w:val="18"/>
        <w:szCs w:val="18"/>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RPr="00CA3A86" w:rsidP="00266D65" w14:paraId="468BA717" w14:textId="1009282B">
    <w:pPr>
      <w:pStyle w:val="Header"/>
      <w:rPr>
        <w:rFonts w:ascii="Arial" w:hAnsi="Arial" w:cs="Arial"/>
        <w:sz w:val="18"/>
        <w:szCs w:val="18"/>
      </w:rPr>
    </w:pPr>
    <w:r>
      <w:rPr>
        <w:rFonts w:ascii="Arial" w:hAnsi="Arial" w:cs="Arial"/>
        <w:b/>
        <w:i w:val="0"/>
        <w:strike w:val="0"/>
        <w:sz w:val="18"/>
      </w:rPr>
      <w:t>Westlaw AI Deep Research</w:t>
    </w:r>
    <w:r w:rsidRPr="00CA3A86" w:rsidR="00266D65">
      <w:rPr>
        <w:rFonts w:ascii="Arial" w:hAnsi="Arial" w:cs="Arial"/>
        <w:sz w:val="18"/>
        <w:szCs w:val="18"/>
      </w:rPr>
      <w:t xml:space="preserve">   •   Response generated: </w:t>
    </w:r>
    <w:r>
      <w:rPr>
        <w:rFonts w:ascii="Arial" w:hAnsi="Arial" w:cs="Arial"/>
        <w:b w:val="0"/>
        <w:i w:val="0"/>
        <w:strike w:val="0"/>
        <w:sz w:val="18"/>
      </w:rPr>
      <w:t>February 9, 2026</w:t>
    </w:r>
    <w:r w:rsidRPr="00CA3A86" w:rsidR="00266D65">
      <w:rPr>
        <w:rFonts w:ascii="Arial" w:hAnsi="Arial" w:cs="Arial"/>
        <w:sz w:val="18"/>
        <w:szCs w:val="18"/>
      </w:rPr>
      <w:t xml:space="preserve"> at </w:t>
    </w:r>
    <w:r>
      <w:rPr>
        <w:rFonts w:ascii="Arial" w:hAnsi="Arial" w:cs="Arial"/>
        <w:b w:val="0"/>
        <w:i w:val="0"/>
        <w:strike w:val="0"/>
        <w:sz w:val="18"/>
      </w:rPr>
      <w:t>7:57 p.m. UTC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4457E2A"/>
    <w:multiLevelType w:val="multilevel"/>
    <w:tmpl w:val="E672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755EC0"/>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6CD0400"/>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6FC1E9C"/>
    <w:multiLevelType w:val="multilevel"/>
    <w:tmpl w:val="F39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0739E5"/>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538483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A94677A"/>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B81534D"/>
    <w:multiLevelType w:val="hybridMultilevel"/>
    <w:tmpl w:val="0D8060D0"/>
    <w:lvl w:ilvl="0">
      <w:start w:val="1"/>
      <w:numFmt w:val="bullet"/>
      <w:lvlText w:val="ü"/>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
    <w:nsid w:val="27F06589"/>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EA47815"/>
    <w:multiLevelType w:val="hybridMultilevel"/>
    <w:tmpl w:val="5DAE70DC"/>
    <w:lvl w:ilvl="0">
      <w:start w:val="3"/>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9424FA7"/>
    <w:multiLevelType w:val="hybridMultilevel"/>
    <w:tmpl w:val="658645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AF80D86"/>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CA00D8C"/>
    <w:multiLevelType w:val="multilevel"/>
    <w:tmpl w:val="D51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1867403"/>
    <w:multiLevelType w:val="hybridMultilevel"/>
    <w:tmpl w:val="A5182E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CA0583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4F374317"/>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51BE2E9D"/>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546622C0"/>
    <w:multiLevelType w:val="multilevel"/>
    <w:tmpl w:val="9D2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48A7882"/>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5496378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56A954C8"/>
    <w:multiLevelType w:val="hybridMultilevel"/>
    <w:tmpl w:val="D82A718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7B21FE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59FE2C15"/>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33C3930"/>
    <w:multiLevelType w:val="hybridMultilevel"/>
    <w:tmpl w:val="7BF4ABD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7F571E3"/>
    <w:multiLevelType w:val="multilevel"/>
    <w:tmpl w:val="6EDC73E6"/>
    <w:numStyleLink w:val="ResearchSteps"/>
  </w:abstractNum>
  <w:abstractNum w:abstractNumId="26">
    <w:nsid w:val="68C7770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6B224267"/>
    <w:multiLevelType w:val="multilevel"/>
    <w:tmpl w:val="6EDC73E6"/>
    <w:styleLink w:val="ResearchSteps"/>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
    <w:nsid w:val="6B2B218C"/>
    <w:multiLevelType w:val="hybridMultilevel"/>
    <w:tmpl w:val="D6AC1E7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73A12D01"/>
    <w:multiLevelType w:val="multilevel"/>
    <w:tmpl w:val="904C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9BF6B44"/>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7C5654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C5654BB"/>
    <w:multiLevelType w:val="multilevel"/>
    <w:tmpl w:val="7C5654B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C5654BC"/>
    <w:multiLevelType w:val="hybridMultilevel"/>
    <w:tmpl w:val="7C5654BC"/>
    <w:lvl w:ilvl="0">
      <w:start w:val="1"/>
      <w:numFmt w:val="bullet"/>
      <w:lvlText w:val="✓"/>
      <w:lvlJc w:val="left"/>
      <w:pPr>
        <w:tabs>
          <w:tab w:val="num" w:pos="720"/>
        </w:tabs>
        <w:ind w:left="720" w:hanging="360"/>
      </w:pPr>
      <w:rPr>
        <w:rFonts w:ascii="Segoe UI Symbol" w:eastAsia="Segoe UI Symbol" w:hAnsi="Segoe UI Symbol" w:cs="Segoe UI Symbol"/>
      </w:rPr>
    </w:lvl>
    <w:lvl w:ilvl="1">
      <w:start w:val="1"/>
      <w:numFmt w:val="bullet"/>
      <w:lvlText w:val="o"/>
      <w:lvlJc w:val="left"/>
      <w:pPr>
        <w:tabs>
          <w:tab w:val="num" w:pos="1440"/>
        </w:tabs>
        <w:ind w:left="1440" w:hanging="360"/>
      </w:pPr>
      <w:rPr>
        <w:rFonts w:ascii="Symbol" w:eastAsia="Symbol" w:hAnsi="Symbol" w:cs="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77177892">
    <w:abstractNumId w:val="24"/>
  </w:num>
  <w:num w:numId="2" w16cid:durableId="882862179">
    <w:abstractNumId w:val="28"/>
  </w:num>
  <w:num w:numId="3" w16cid:durableId="1125149909">
    <w:abstractNumId w:val="1"/>
  </w:num>
  <w:num w:numId="4" w16cid:durableId="979194767">
    <w:abstractNumId w:val="21"/>
  </w:num>
  <w:num w:numId="5" w16cid:durableId="1135949211">
    <w:abstractNumId w:val="10"/>
  </w:num>
  <w:num w:numId="6" w16cid:durableId="987049796">
    <w:abstractNumId w:val="29"/>
  </w:num>
  <w:num w:numId="7" w16cid:durableId="2099935921">
    <w:abstractNumId w:val="4"/>
  </w:num>
  <w:num w:numId="8" w16cid:durableId="1390878430">
    <w:abstractNumId w:val="13"/>
  </w:num>
  <w:num w:numId="9" w16cid:durableId="165680804">
    <w:abstractNumId w:val="18"/>
  </w:num>
  <w:num w:numId="10" w16cid:durableId="1445539250">
    <w:abstractNumId w:val="26"/>
  </w:num>
  <w:num w:numId="11" w16cid:durableId="18943456">
    <w:abstractNumId w:val="12"/>
  </w:num>
  <w:num w:numId="12" w16cid:durableId="1446853127">
    <w:abstractNumId w:val="5"/>
  </w:num>
  <w:num w:numId="13" w16cid:durableId="452557828">
    <w:abstractNumId w:val="3"/>
  </w:num>
  <w:num w:numId="14" w16cid:durableId="222717049">
    <w:abstractNumId w:val="16"/>
  </w:num>
  <w:num w:numId="15" w16cid:durableId="1727685844">
    <w:abstractNumId w:val="19"/>
  </w:num>
  <w:num w:numId="16" w16cid:durableId="163128153">
    <w:abstractNumId w:val="7"/>
  </w:num>
  <w:num w:numId="17" w16cid:durableId="1113554303">
    <w:abstractNumId w:val="2"/>
  </w:num>
  <w:num w:numId="18" w16cid:durableId="1326473564">
    <w:abstractNumId w:val="23"/>
  </w:num>
  <w:num w:numId="19" w16cid:durableId="1981617171">
    <w:abstractNumId w:val="17"/>
  </w:num>
  <w:num w:numId="20" w16cid:durableId="74523104">
    <w:abstractNumId w:val="9"/>
  </w:num>
  <w:num w:numId="21" w16cid:durableId="1700811561">
    <w:abstractNumId w:val="6"/>
  </w:num>
  <w:num w:numId="22" w16cid:durableId="143855414">
    <w:abstractNumId w:val="15"/>
  </w:num>
  <w:num w:numId="23" w16cid:durableId="1498886866">
    <w:abstractNumId w:val="14"/>
  </w:num>
  <w:num w:numId="24" w16cid:durableId="1664772259">
    <w:abstractNumId w:val="30"/>
  </w:num>
  <w:num w:numId="25" w16cid:durableId="2100127906">
    <w:abstractNumId w:val="20"/>
  </w:num>
  <w:num w:numId="26" w16cid:durableId="1657878376">
    <w:abstractNumId w:val="22"/>
  </w:num>
  <w:num w:numId="27" w16cid:durableId="2117557087">
    <w:abstractNumId w:val="8"/>
  </w:num>
  <w:num w:numId="28" w16cid:durableId="69548974">
    <w:abstractNumId w:val="11"/>
  </w:num>
  <w:num w:numId="29" w16cid:durableId="875699361">
    <w:abstractNumId w:val="27"/>
  </w:num>
  <w:num w:numId="30" w16cid:durableId="129247603">
    <w:abstractNumId w:val="25"/>
  </w:num>
  <w:num w:numId="31" w16cid:durableId="935821104">
    <w:abstractNumId w:val="31"/>
  </w:num>
  <w:num w:numId="32">
    <w:abstractNumId w:val="0"/>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00"/>
    <w:rsid w:val="00002537"/>
    <w:rsid w:val="000070A9"/>
    <w:rsid w:val="00010434"/>
    <w:rsid w:val="00011EB0"/>
    <w:rsid w:val="00020FD1"/>
    <w:rsid w:val="00027A36"/>
    <w:rsid w:val="0003200D"/>
    <w:rsid w:val="00032904"/>
    <w:rsid w:val="000513CE"/>
    <w:rsid w:val="00054AE9"/>
    <w:rsid w:val="00075FC5"/>
    <w:rsid w:val="000815E7"/>
    <w:rsid w:val="000853EB"/>
    <w:rsid w:val="000911FB"/>
    <w:rsid w:val="000970CD"/>
    <w:rsid w:val="000A169D"/>
    <w:rsid w:val="000A62DD"/>
    <w:rsid w:val="000B21FD"/>
    <w:rsid w:val="000B25DA"/>
    <w:rsid w:val="000C1760"/>
    <w:rsid w:val="000C4CC4"/>
    <w:rsid w:val="000C6E54"/>
    <w:rsid w:val="000D328E"/>
    <w:rsid w:val="000E1AFB"/>
    <w:rsid w:val="000E4BB0"/>
    <w:rsid w:val="000E6B43"/>
    <w:rsid w:val="000E75C6"/>
    <w:rsid w:val="000F118B"/>
    <w:rsid w:val="000F3725"/>
    <w:rsid w:val="000F5454"/>
    <w:rsid w:val="000F6139"/>
    <w:rsid w:val="001075B4"/>
    <w:rsid w:val="00112DD4"/>
    <w:rsid w:val="001234D5"/>
    <w:rsid w:val="00126860"/>
    <w:rsid w:val="0013440D"/>
    <w:rsid w:val="00145CEA"/>
    <w:rsid w:val="00153A96"/>
    <w:rsid w:val="00156E45"/>
    <w:rsid w:val="00163EF0"/>
    <w:rsid w:val="0017070C"/>
    <w:rsid w:val="00173CCD"/>
    <w:rsid w:val="001769B3"/>
    <w:rsid w:val="00176FD6"/>
    <w:rsid w:val="00177C2A"/>
    <w:rsid w:val="001947AC"/>
    <w:rsid w:val="00194FAC"/>
    <w:rsid w:val="0019606A"/>
    <w:rsid w:val="001B15B9"/>
    <w:rsid w:val="001B47B6"/>
    <w:rsid w:val="001B4E7F"/>
    <w:rsid w:val="001B6E29"/>
    <w:rsid w:val="001C2E92"/>
    <w:rsid w:val="001C78E3"/>
    <w:rsid w:val="001D4275"/>
    <w:rsid w:val="001E1C60"/>
    <w:rsid w:val="001E54C9"/>
    <w:rsid w:val="001F4EF1"/>
    <w:rsid w:val="001F75F3"/>
    <w:rsid w:val="00201287"/>
    <w:rsid w:val="0021105E"/>
    <w:rsid w:val="00214220"/>
    <w:rsid w:val="002233E3"/>
    <w:rsid w:val="0023187D"/>
    <w:rsid w:val="00233591"/>
    <w:rsid w:val="0024315F"/>
    <w:rsid w:val="0024664F"/>
    <w:rsid w:val="00246C76"/>
    <w:rsid w:val="00251AC1"/>
    <w:rsid w:val="002534E6"/>
    <w:rsid w:val="00266D65"/>
    <w:rsid w:val="00266DD2"/>
    <w:rsid w:val="002670BD"/>
    <w:rsid w:val="0029350B"/>
    <w:rsid w:val="002A5285"/>
    <w:rsid w:val="002A766F"/>
    <w:rsid w:val="002C0255"/>
    <w:rsid w:val="002C7F2B"/>
    <w:rsid w:val="002D3F75"/>
    <w:rsid w:val="002D7F22"/>
    <w:rsid w:val="002E1212"/>
    <w:rsid w:val="002E4A9D"/>
    <w:rsid w:val="002F1427"/>
    <w:rsid w:val="00301D69"/>
    <w:rsid w:val="00317081"/>
    <w:rsid w:val="00320DBE"/>
    <w:rsid w:val="00321BFC"/>
    <w:rsid w:val="003359E4"/>
    <w:rsid w:val="003436F8"/>
    <w:rsid w:val="00354317"/>
    <w:rsid w:val="00371915"/>
    <w:rsid w:val="00371BA2"/>
    <w:rsid w:val="00372153"/>
    <w:rsid w:val="00396112"/>
    <w:rsid w:val="003A7A8B"/>
    <w:rsid w:val="003B2CBE"/>
    <w:rsid w:val="003B358F"/>
    <w:rsid w:val="003B55C8"/>
    <w:rsid w:val="003B7B49"/>
    <w:rsid w:val="003C097A"/>
    <w:rsid w:val="003D1130"/>
    <w:rsid w:val="003E2334"/>
    <w:rsid w:val="003E4AE8"/>
    <w:rsid w:val="00401DC8"/>
    <w:rsid w:val="00402EC7"/>
    <w:rsid w:val="0040472B"/>
    <w:rsid w:val="004134E9"/>
    <w:rsid w:val="00414E6F"/>
    <w:rsid w:val="00417ED9"/>
    <w:rsid w:val="00425CE9"/>
    <w:rsid w:val="0045055B"/>
    <w:rsid w:val="004520E7"/>
    <w:rsid w:val="00455FEB"/>
    <w:rsid w:val="00461E05"/>
    <w:rsid w:val="00465A85"/>
    <w:rsid w:val="00477459"/>
    <w:rsid w:val="00481DDD"/>
    <w:rsid w:val="00486837"/>
    <w:rsid w:val="00490A5F"/>
    <w:rsid w:val="00495A96"/>
    <w:rsid w:val="004A32B0"/>
    <w:rsid w:val="004A573A"/>
    <w:rsid w:val="004C3FCB"/>
    <w:rsid w:val="004C4F25"/>
    <w:rsid w:val="004C766E"/>
    <w:rsid w:val="004D7C28"/>
    <w:rsid w:val="004F1C3B"/>
    <w:rsid w:val="00505C4B"/>
    <w:rsid w:val="00510591"/>
    <w:rsid w:val="00516B3F"/>
    <w:rsid w:val="00520D11"/>
    <w:rsid w:val="005218D7"/>
    <w:rsid w:val="00522045"/>
    <w:rsid w:val="00522D43"/>
    <w:rsid w:val="005305F0"/>
    <w:rsid w:val="0053299B"/>
    <w:rsid w:val="00550EC5"/>
    <w:rsid w:val="0056376F"/>
    <w:rsid w:val="00566A4A"/>
    <w:rsid w:val="00566AEF"/>
    <w:rsid w:val="005A2527"/>
    <w:rsid w:val="005A7107"/>
    <w:rsid w:val="005A7294"/>
    <w:rsid w:val="005B55F6"/>
    <w:rsid w:val="005C2054"/>
    <w:rsid w:val="005E0E32"/>
    <w:rsid w:val="005E1943"/>
    <w:rsid w:val="005E336A"/>
    <w:rsid w:val="005F0D8F"/>
    <w:rsid w:val="005F433F"/>
    <w:rsid w:val="005F4583"/>
    <w:rsid w:val="005F680A"/>
    <w:rsid w:val="00602A33"/>
    <w:rsid w:val="006043CD"/>
    <w:rsid w:val="00604653"/>
    <w:rsid w:val="006166D3"/>
    <w:rsid w:val="00620344"/>
    <w:rsid w:val="00624B2F"/>
    <w:rsid w:val="00625DAA"/>
    <w:rsid w:val="0062617A"/>
    <w:rsid w:val="00626885"/>
    <w:rsid w:val="00637A25"/>
    <w:rsid w:val="0065092C"/>
    <w:rsid w:val="0065351A"/>
    <w:rsid w:val="00657A79"/>
    <w:rsid w:val="00670061"/>
    <w:rsid w:val="00672A7D"/>
    <w:rsid w:val="0067605D"/>
    <w:rsid w:val="0068486E"/>
    <w:rsid w:val="00693CF8"/>
    <w:rsid w:val="00693D65"/>
    <w:rsid w:val="00694F25"/>
    <w:rsid w:val="006A15A1"/>
    <w:rsid w:val="006A1D03"/>
    <w:rsid w:val="006B1152"/>
    <w:rsid w:val="006B7F9C"/>
    <w:rsid w:val="006C1131"/>
    <w:rsid w:val="006C18AF"/>
    <w:rsid w:val="006D141A"/>
    <w:rsid w:val="006D482B"/>
    <w:rsid w:val="006E653C"/>
    <w:rsid w:val="006E7112"/>
    <w:rsid w:val="006E7F0F"/>
    <w:rsid w:val="006F12B9"/>
    <w:rsid w:val="006F6834"/>
    <w:rsid w:val="007118BA"/>
    <w:rsid w:val="00713078"/>
    <w:rsid w:val="00714E6B"/>
    <w:rsid w:val="0071770E"/>
    <w:rsid w:val="0072447E"/>
    <w:rsid w:val="00732345"/>
    <w:rsid w:val="007350C4"/>
    <w:rsid w:val="00741BD8"/>
    <w:rsid w:val="007516D9"/>
    <w:rsid w:val="00755159"/>
    <w:rsid w:val="00755B14"/>
    <w:rsid w:val="00756906"/>
    <w:rsid w:val="0076021E"/>
    <w:rsid w:val="00764A43"/>
    <w:rsid w:val="00764BF7"/>
    <w:rsid w:val="00774FDA"/>
    <w:rsid w:val="00780BA6"/>
    <w:rsid w:val="00782B00"/>
    <w:rsid w:val="00787E9B"/>
    <w:rsid w:val="00792125"/>
    <w:rsid w:val="00794C0D"/>
    <w:rsid w:val="0079657F"/>
    <w:rsid w:val="00797F32"/>
    <w:rsid w:val="007A0BF5"/>
    <w:rsid w:val="007A151E"/>
    <w:rsid w:val="007A4513"/>
    <w:rsid w:val="007A705E"/>
    <w:rsid w:val="007B51F0"/>
    <w:rsid w:val="007B56CE"/>
    <w:rsid w:val="007B77A6"/>
    <w:rsid w:val="007C3FBA"/>
    <w:rsid w:val="007C57AF"/>
    <w:rsid w:val="007D0172"/>
    <w:rsid w:val="007D3828"/>
    <w:rsid w:val="007E30E3"/>
    <w:rsid w:val="007E5AC0"/>
    <w:rsid w:val="008019DC"/>
    <w:rsid w:val="00803537"/>
    <w:rsid w:val="00803EC5"/>
    <w:rsid w:val="008073DD"/>
    <w:rsid w:val="008074D4"/>
    <w:rsid w:val="0081418D"/>
    <w:rsid w:val="00814BC7"/>
    <w:rsid w:val="00814DAD"/>
    <w:rsid w:val="00816631"/>
    <w:rsid w:val="0081707F"/>
    <w:rsid w:val="008221C5"/>
    <w:rsid w:val="00833D34"/>
    <w:rsid w:val="00833D9C"/>
    <w:rsid w:val="00853C21"/>
    <w:rsid w:val="0086311F"/>
    <w:rsid w:val="00873ADA"/>
    <w:rsid w:val="008775B8"/>
    <w:rsid w:val="00877D32"/>
    <w:rsid w:val="008809CB"/>
    <w:rsid w:val="00884130"/>
    <w:rsid w:val="00893714"/>
    <w:rsid w:val="00897859"/>
    <w:rsid w:val="008B293F"/>
    <w:rsid w:val="008C1635"/>
    <w:rsid w:val="008C3F22"/>
    <w:rsid w:val="008C41E4"/>
    <w:rsid w:val="008C6DA9"/>
    <w:rsid w:val="008C6E74"/>
    <w:rsid w:val="008D3D75"/>
    <w:rsid w:val="008D748A"/>
    <w:rsid w:val="008E22EC"/>
    <w:rsid w:val="008F6E98"/>
    <w:rsid w:val="00904C94"/>
    <w:rsid w:val="0091518F"/>
    <w:rsid w:val="00917C10"/>
    <w:rsid w:val="00922C5F"/>
    <w:rsid w:val="00926860"/>
    <w:rsid w:val="009337AC"/>
    <w:rsid w:val="0093562A"/>
    <w:rsid w:val="0094051C"/>
    <w:rsid w:val="00945A08"/>
    <w:rsid w:val="009569F1"/>
    <w:rsid w:val="00956E15"/>
    <w:rsid w:val="00957A33"/>
    <w:rsid w:val="00971AF2"/>
    <w:rsid w:val="00974121"/>
    <w:rsid w:val="009842AD"/>
    <w:rsid w:val="0098739B"/>
    <w:rsid w:val="0099335B"/>
    <w:rsid w:val="009972E9"/>
    <w:rsid w:val="009A128A"/>
    <w:rsid w:val="009A323E"/>
    <w:rsid w:val="009A6103"/>
    <w:rsid w:val="009B42E6"/>
    <w:rsid w:val="009B789C"/>
    <w:rsid w:val="009D7141"/>
    <w:rsid w:val="009F44D9"/>
    <w:rsid w:val="00A024E9"/>
    <w:rsid w:val="00A14DA2"/>
    <w:rsid w:val="00A20A87"/>
    <w:rsid w:val="00A25B5B"/>
    <w:rsid w:val="00A25E2F"/>
    <w:rsid w:val="00A31E55"/>
    <w:rsid w:val="00A3231B"/>
    <w:rsid w:val="00A33C94"/>
    <w:rsid w:val="00A37A26"/>
    <w:rsid w:val="00A46556"/>
    <w:rsid w:val="00A5211C"/>
    <w:rsid w:val="00A61076"/>
    <w:rsid w:val="00A610D3"/>
    <w:rsid w:val="00A703EB"/>
    <w:rsid w:val="00A71489"/>
    <w:rsid w:val="00A72C3C"/>
    <w:rsid w:val="00A7738C"/>
    <w:rsid w:val="00A8662C"/>
    <w:rsid w:val="00A9280D"/>
    <w:rsid w:val="00A9498D"/>
    <w:rsid w:val="00A96542"/>
    <w:rsid w:val="00AA46CA"/>
    <w:rsid w:val="00AA59C4"/>
    <w:rsid w:val="00AC6FA2"/>
    <w:rsid w:val="00AD6C25"/>
    <w:rsid w:val="00AE1ACC"/>
    <w:rsid w:val="00AF4290"/>
    <w:rsid w:val="00B00260"/>
    <w:rsid w:val="00B00992"/>
    <w:rsid w:val="00B0712F"/>
    <w:rsid w:val="00B078E6"/>
    <w:rsid w:val="00B1574D"/>
    <w:rsid w:val="00B1685A"/>
    <w:rsid w:val="00B23348"/>
    <w:rsid w:val="00B233FA"/>
    <w:rsid w:val="00B34CD1"/>
    <w:rsid w:val="00B4280D"/>
    <w:rsid w:val="00B501C5"/>
    <w:rsid w:val="00B52EC9"/>
    <w:rsid w:val="00B567EE"/>
    <w:rsid w:val="00B60B3D"/>
    <w:rsid w:val="00B62FF8"/>
    <w:rsid w:val="00B63BA7"/>
    <w:rsid w:val="00B74C61"/>
    <w:rsid w:val="00B7607E"/>
    <w:rsid w:val="00B82CC7"/>
    <w:rsid w:val="00B86A5F"/>
    <w:rsid w:val="00B9156A"/>
    <w:rsid w:val="00B94D7E"/>
    <w:rsid w:val="00B95947"/>
    <w:rsid w:val="00BA0E1B"/>
    <w:rsid w:val="00BB0456"/>
    <w:rsid w:val="00BB349F"/>
    <w:rsid w:val="00BB4918"/>
    <w:rsid w:val="00BB52EA"/>
    <w:rsid w:val="00BB5985"/>
    <w:rsid w:val="00BC5CE9"/>
    <w:rsid w:val="00BC6C3E"/>
    <w:rsid w:val="00BD37A5"/>
    <w:rsid w:val="00BD536C"/>
    <w:rsid w:val="00BE22E2"/>
    <w:rsid w:val="00BE72CC"/>
    <w:rsid w:val="00BF1983"/>
    <w:rsid w:val="00C0608C"/>
    <w:rsid w:val="00C12CF4"/>
    <w:rsid w:val="00C16CCE"/>
    <w:rsid w:val="00C17243"/>
    <w:rsid w:val="00C24858"/>
    <w:rsid w:val="00C25DA1"/>
    <w:rsid w:val="00C3318C"/>
    <w:rsid w:val="00C35B6A"/>
    <w:rsid w:val="00C40631"/>
    <w:rsid w:val="00C41A7B"/>
    <w:rsid w:val="00C42B55"/>
    <w:rsid w:val="00C4379B"/>
    <w:rsid w:val="00C44847"/>
    <w:rsid w:val="00C4544D"/>
    <w:rsid w:val="00C46815"/>
    <w:rsid w:val="00C624A5"/>
    <w:rsid w:val="00C67A9D"/>
    <w:rsid w:val="00C746E0"/>
    <w:rsid w:val="00C931E4"/>
    <w:rsid w:val="00C96ABC"/>
    <w:rsid w:val="00CA2401"/>
    <w:rsid w:val="00CA2EC3"/>
    <w:rsid w:val="00CA3A86"/>
    <w:rsid w:val="00CA43C5"/>
    <w:rsid w:val="00CB4C02"/>
    <w:rsid w:val="00CB5520"/>
    <w:rsid w:val="00CB649F"/>
    <w:rsid w:val="00CC06D4"/>
    <w:rsid w:val="00CC4956"/>
    <w:rsid w:val="00CC5A8E"/>
    <w:rsid w:val="00CD4E11"/>
    <w:rsid w:val="00CD72FF"/>
    <w:rsid w:val="00CD7BBC"/>
    <w:rsid w:val="00CE05B5"/>
    <w:rsid w:val="00CF014C"/>
    <w:rsid w:val="00CF34D2"/>
    <w:rsid w:val="00CF4439"/>
    <w:rsid w:val="00CF66C0"/>
    <w:rsid w:val="00D0304B"/>
    <w:rsid w:val="00D05B72"/>
    <w:rsid w:val="00D10461"/>
    <w:rsid w:val="00D16362"/>
    <w:rsid w:val="00D2258D"/>
    <w:rsid w:val="00D31D73"/>
    <w:rsid w:val="00D325B2"/>
    <w:rsid w:val="00D4130B"/>
    <w:rsid w:val="00D43A6B"/>
    <w:rsid w:val="00D60195"/>
    <w:rsid w:val="00D62F64"/>
    <w:rsid w:val="00D70872"/>
    <w:rsid w:val="00D8338E"/>
    <w:rsid w:val="00D85898"/>
    <w:rsid w:val="00D86E13"/>
    <w:rsid w:val="00D90DA2"/>
    <w:rsid w:val="00D94A1D"/>
    <w:rsid w:val="00D955C2"/>
    <w:rsid w:val="00DA6442"/>
    <w:rsid w:val="00DA756F"/>
    <w:rsid w:val="00DA79E6"/>
    <w:rsid w:val="00DB4A21"/>
    <w:rsid w:val="00DB57B7"/>
    <w:rsid w:val="00DB647D"/>
    <w:rsid w:val="00DC507A"/>
    <w:rsid w:val="00DD4901"/>
    <w:rsid w:val="00DE6377"/>
    <w:rsid w:val="00DF3F9C"/>
    <w:rsid w:val="00E01C78"/>
    <w:rsid w:val="00E1623F"/>
    <w:rsid w:val="00E17948"/>
    <w:rsid w:val="00E23CB1"/>
    <w:rsid w:val="00E241E9"/>
    <w:rsid w:val="00E26755"/>
    <w:rsid w:val="00E36F57"/>
    <w:rsid w:val="00E378A6"/>
    <w:rsid w:val="00E44323"/>
    <w:rsid w:val="00E47D53"/>
    <w:rsid w:val="00E5063B"/>
    <w:rsid w:val="00E5662E"/>
    <w:rsid w:val="00E658DF"/>
    <w:rsid w:val="00E8060B"/>
    <w:rsid w:val="00E813CC"/>
    <w:rsid w:val="00E81F12"/>
    <w:rsid w:val="00E928C8"/>
    <w:rsid w:val="00E928E5"/>
    <w:rsid w:val="00E944BA"/>
    <w:rsid w:val="00EA0DC3"/>
    <w:rsid w:val="00EA12C1"/>
    <w:rsid w:val="00EA3824"/>
    <w:rsid w:val="00EA786A"/>
    <w:rsid w:val="00EB011F"/>
    <w:rsid w:val="00EB0702"/>
    <w:rsid w:val="00EB28B9"/>
    <w:rsid w:val="00EC008D"/>
    <w:rsid w:val="00EC1049"/>
    <w:rsid w:val="00EC22E0"/>
    <w:rsid w:val="00EC3CEA"/>
    <w:rsid w:val="00EC6328"/>
    <w:rsid w:val="00ED3AE4"/>
    <w:rsid w:val="00ED5365"/>
    <w:rsid w:val="00ED6887"/>
    <w:rsid w:val="00ED6995"/>
    <w:rsid w:val="00ED7666"/>
    <w:rsid w:val="00EE6197"/>
    <w:rsid w:val="00EF1940"/>
    <w:rsid w:val="00EF442E"/>
    <w:rsid w:val="00F01368"/>
    <w:rsid w:val="00F05E15"/>
    <w:rsid w:val="00F14998"/>
    <w:rsid w:val="00F151AD"/>
    <w:rsid w:val="00F169FC"/>
    <w:rsid w:val="00F33052"/>
    <w:rsid w:val="00F3378D"/>
    <w:rsid w:val="00F33ADE"/>
    <w:rsid w:val="00F34DD5"/>
    <w:rsid w:val="00F35097"/>
    <w:rsid w:val="00F41C47"/>
    <w:rsid w:val="00F5050F"/>
    <w:rsid w:val="00F53705"/>
    <w:rsid w:val="00F556B6"/>
    <w:rsid w:val="00F74764"/>
    <w:rsid w:val="00F857F6"/>
    <w:rsid w:val="00F85FF6"/>
    <w:rsid w:val="00FB0B5C"/>
    <w:rsid w:val="00FB3768"/>
    <w:rsid w:val="00FC4985"/>
    <w:rsid w:val="00FC6B2E"/>
    <w:rsid w:val="00FD0317"/>
    <w:rsid w:val="00FD3368"/>
    <w:rsid w:val="00FF35DB"/>
    <w:rsid w:val="00FF565F"/>
    <w:rsid w:val="00FF70C5"/>
  </w:rsids>
  <m:mathPr>
    <m:mathFont m:val="Cambria Math"/>
  </m:mathPr>
  <w:themeFontLang w:val="en-CA"/>
  <w:clrSchemeMapping w:bg1="light1" w:t1="dark1" w:bg2="light2" w:t2="dark2" w:accent1="accent1" w:accent2="accent2" w:accent3="accent3" w:accent4="accent4" w:accent5="accent5" w:accent6="accent6" w:hyperlink="hyperlink" w:followedHyperlink="followedHyperlink"/>
  <w14:docId w14:val="709B527C"/>
  <w15:chartTrackingRefBased/>
  <w15:docId w15:val="{12419E17-88F7-7A4E-AAC2-0F7298B1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semiHidden/>
    <w:qFormat/>
    <w:rsid w:val="000B25DA"/>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0B25DA"/>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B25DA"/>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0B25DA"/>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B25DA"/>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782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0B25DA"/>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0B25D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B25DA"/>
    <w:rPr>
      <w:rFonts w:eastAsiaTheme="majorEastAsia" w:cstheme="majorBidi"/>
      <w:sz w:val="28"/>
      <w:szCs w:val="28"/>
    </w:rPr>
  </w:style>
  <w:style w:type="character" w:customStyle="1" w:styleId="Heading4Char">
    <w:name w:val="Heading 4 Char"/>
    <w:basedOn w:val="DefaultParagraphFont"/>
    <w:link w:val="Heading4"/>
    <w:uiPriority w:val="9"/>
    <w:semiHidden/>
    <w:rsid w:val="000B25DA"/>
    <w:rPr>
      <w:rFonts w:eastAsiaTheme="majorEastAsia" w:cstheme="majorBidi"/>
      <w:i/>
      <w:iCs/>
    </w:rPr>
  </w:style>
  <w:style w:type="character" w:customStyle="1" w:styleId="Heading5Char">
    <w:name w:val="Heading 5 Char"/>
    <w:basedOn w:val="DefaultParagraphFont"/>
    <w:link w:val="Heading5"/>
    <w:uiPriority w:val="9"/>
    <w:semiHidden/>
    <w:rsid w:val="000B25DA"/>
    <w:rPr>
      <w:rFonts w:eastAsiaTheme="majorEastAsia" w:cstheme="majorBidi"/>
    </w:rPr>
  </w:style>
  <w:style w:type="character" w:customStyle="1" w:styleId="Heading6Char">
    <w:name w:val="Heading 6 Char"/>
    <w:basedOn w:val="DefaultParagraphFont"/>
    <w:link w:val="Heading6"/>
    <w:uiPriority w:val="9"/>
    <w:semiHidden/>
    <w:rsid w:val="00782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B00"/>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782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782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782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782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782B0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82B00"/>
    <w:rPr>
      <w:i/>
      <w:iCs/>
      <w:color w:val="404040" w:themeColor="text1" w:themeTint="BF"/>
    </w:rPr>
  </w:style>
  <w:style w:type="paragraph" w:styleId="ListParagraph">
    <w:name w:val="List Paragraph"/>
    <w:basedOn w:val="Normal"/>
    <w:uiPriority w:val="34"/>
    <w:semiHidden/>
    <w:qFormat/>
    <w:rsid w:val="00782B00"/>
    <w:pPr>
      <w:ind w:left="720"/>
      <w:contextualSpacing/>
    </w:pPr>
  </w:style>
  <w:style w:type="character" w:styleId="IntenseEmphasis">
    <w:name w:val="Intense Emphasis"/>
    <w:basedOn w:val="DefaultParagraphFont"/>
    <w:uiPriority w:val="21"/>
    <w:semiHidden/>
    <w:qFormat/>
    <w:rsid w:val="00782B00"/>
    <w:rPr>
      <w:i/>
      <w:iCs/>
      <w:color w:val="0F4761" w:themeColor="accent1" w:themeShade="BF"/>
    </w:rPr>
  </w:style>
  <w:style w:type="paragraph" w:styleId="IntenseQuote">
    <w:name w:val="Intense Quote"/>
    <w:basedOn w:val="Normal"/>
    <w:next w:val="Normal"/>
    <w:link w:val="IntenseQuoteChar"/>
    <w:uiPriority w:val="30"/>
    <w:semiHidden/>
    <w:qFormat/>
    <w:rsid w:val="00782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782B00"/>
    <w:rPr>
      <w:i/>
      <w:iCs/>
      <w:color w:val="0F4761" w:themeColor="accent1" w:themeShade="BF"/>
    </w:rPr>
  </w:style>
  <w:style w:type="character" w:styleId="IntenseReference">
    <w:name w:val="Intense Reference"/>
    <w:basedOn w:val="DefaultParagraphFont"/>
    <w:uiPriority w:val="32"/>
    <w:semiHidden/>
    <w:qFormat/>
    <w:rsid w:val="00782B00"/>
    <w:rPr>
      <w:b/>
      <w:bCs/>
      <w:smallCaps/>
      <w:color w:val="0F4761" w:themeColor="accent1" w:themeShade="BF"/>
      <w:spacing w:val="5"/>
    </w:rPr>
  </w:style>
  <w:style w:type="paragraph" w:customStyle="1" w:styleId="p1">
    <w:name w:val="p1"/>
    <w:basedOn w:val="Normal"/>
    <w:semiHidden/>
    <w:rsid w:val="00782B00"/>
    <w:pPr>
      <w:spacing w:after="0" w:line="240" w:lineRule="auto"/>
    </w:pPr>
    <w:rPr>
      <w:rFonts w:ascii="Helvetica" w:eastAsia="Times New Roman" w:hAnsi="Helvetica" w:cs="Times New Roman"/>
      <w:color w:val="000000"/>
      <w:kern w:val="0"/>
      <w:sz w:val="48"/>
      <w:szCs w:val="48"/>
      <w14:ligatures w14:val="none"/>
    </w:rPr>
  </w:style>
  <w:style w:type="paragraph" w:customStyle="1" w:styleId="p2">
    <w:name w:val="p2"/>
    <w:basedOn w:val="Normal"/>
    <w:semiHidden/>
    <w:rsid w:val="00782B00"/>
    <w:pPr>
      <w:spacing w:after="0" w:line="240" w:lineRule="auto"/>
    </w:pPr>
    <w:rPr>
      <w:rFonts w:ascii="Helvetica" w:eastAsia="Times New Roman" w:hAnsi="Helvetica" w:cs="Times New Roman"/>
      <w:color w:val="000000"/>
      <w:kern w:val="0"/>
      <w14:ligatures w14:val="none"/>
    </w:rPr>
  </w:style>
  <w:style w:type="paragraph" w:customStyle="1" w:styleId="p3">
    <w:name w:val="p3"/>
    <w:basedOn w:val="Normal"/>
    <w:semiHidden/>
    <w:rsid w:val="00782B00"/>
    <w:pPr>
      <w:spacing w:after="0" w:line="240" w:lineRule="auto"/>
    </w:pPr>
    <w:rPr>
      <w:rFonts w:ascii="Helvetica" w:eastAsia="Times New Roman" w:hAnsi="Helvetica" w:cs="Times New Roman"/>
      <w:color w:val="000000"/>
      <w:kern w:val="0"/>
      <w:sz w:val="36"/>
      <w:szCs w:val="36"/>
      <w14:ligatures w14:val="none"/>
    </w:rPr>
  </w:style>
  <w:style w:type="paragraph" w:customStyle="1" w:styleId="Report-Heading">
    <w:name w:val="Report - Heading"/>
    <w:basedOn w:val="p1"/>
    <w:qFormat/>
    <w:rsid w:val="00ED5365"/>
    <w:rPr>
      <w:rFonts w:ascii="Arial" w:hAnsi="Arial" w:cs="Arial"/>
      <w:sz w:val="36"/>
    </w:rPr>
  </w:style>
  <w:style w:type="paragraph" w:customStyle="1" w:styleId="Report-Body">
    <w:name w:val="Report - Body"/>
    <w:basedOn w:val="p2"/>
    <w:qFormat/>
    <w:rsid w:val="00D325B2"/>
    <w:rPr>
      <w:rFonts w:ascii="Arial" w:hAnsi="Arial" w:cs="Arial"/>
      <w:color w:val="1D1D1D"/>
      <w:szCs w:val="32"/>
    </w:rPr>
  </w:style>
  <w:style w:type="paragraph" w:customStyle="1" w:styleId="Report-BodyLink">
    <w:name w:val="Report - Body Link"/>
    <w:basedOn w:val="Report-Body"/>
    <w:semiHidden/>
    <w:qFormat/>
    <w:rsid w:val="00782B00"/>
    <w:rPr>
      <w:color w:val="013CB3"/>
      <w:u w:val="single"/>
    </w:rPr>
  </w:style>
  <w:style w:type="paragraph" w:customStyle="1" w:styleId="Report-SubheadLvl1">
    <w:name w:val="Report - Subhead Lvl. 1"/>
    <w:basedOn w:val="p3"/>
    <w:qFormat/>
    <w:rsid w:val="000B25DA"/>
    <w:rPr>
      <w:rFonts w:ascii="Arial" w:hAnsi="Arial" w:cs="Arial"/>
      <w:b/>
      <w:bCs/>
      <w:color w:val="auto"/>
      <w:sz w:val="26"/>
      <w:szCs w:val="40"/>
    </w:rPr>
  </w:style>
  <w:style w:type="paragraph" w:styleId="Header">
    <w:name w:val="header"/>
    <w:basedOn w:val="Normal"/>
    <w:link w:val="HeaderChar"/>
    <w:uiPriority w:val="99"/>
    <w:unhideWhenUsed/>
    <w:rsid w:val="00FB37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3768"/>
  </w:style>
  <w:style w:type="paragraph" w:styleId="Footer">
    <w:name w:val="footer"/>
    <w:basedOn w:val="Normal"/>
    <w:link w:val="FooterChar"/>
    <w:uiPriority w:val="99"/>
    <w:unhideWhenUsed/>
    <w:rsid w:val="00FB37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3768"/>
  </w:style>
  <w:style w:type="character" w:styleId="PageNumber">
    <w:name w:val="page number"/>
    <w:basedOn w:val="DefaultParagraphFont"/>
    <w:uiPriority w:val="99"/>
    <w:semiHidden/>
    <w:unhideWhenUsed/>
    <w:rsid w:val="0071770E"/>
  </w:style>
  <w:style w:type="character" w:styleId="Hyperlink">
    <w:name w:val="Hyperlink"/>
    <w:basedOn w:val="DefaultParagraphFont"/>
    <w:uiPriority w:val="99"/>
    <w:unhideWhenUsed/>
    <w:rsid w:val="0093562A"/>
    <w:rPr>
      <w:color w:val="467886" w:themeColor="hyperlink"/>
      <w:u w:val="single"/>
    </w:rPr>
  </w:style>
  <w:style w:type="character" w:styleId="UnresolvedMention">
    <w:name w:val="Unresolved Mention"/>
    <w:basedOn w:val="DefaultParagraphFont"/>
    <w:uiPriority w:val="99"/>
    <w:semiHidden/>
    <w:unhideWhenUsed/>
    <w:rsid w:val="0093562A"/>
    <w:rPr>
      <w:color w:val="605E5C"/>
      <w:shd w:val="clear" w:color="auto" w:fill="E1DFDD"/>
    </w:rPr>
  </w:style>
  <w:style w:type="character" w:customStyle="1" w:styleId="normaltextrun">
    <w:name w:val="normaltextrun"/>
    <w:basedOn w:val="DefaultParagraphFont"/>
    <w:semiHidden/>
    <w:rsid w:val="00C46815"/>
  </w:style>
  <w:style w:type="paragraph" w:customStyle="1" w:styleId="paragraph">
    <w:name w:val="paragraph"/>
    <w:basedOn w:val="Normal"/>
    <w:semiHidden/>
    <w:rsid w:val="00D325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semiHidden/>
    <w:rsid w:val="00D325B2"/>
  </w:style>
  <w:style w:type="character" w:customStyle="1" w:styleId="scxw5419088">
    <w:name w:val="scxw5419088"/>
    <w:basedOn w:val="DefaultParagraphFont"/>
    <w:semiHidden/>
    <w:rsid w:val="003B55C8"/>
  </w:style>
  <w:style w:type="paragraph" w:customStyle="1" w:styleId="Report-Subhead-Lvl2">
    <w:name w:val="Report - Subhead - Lvl. 2"/>
    <w:basedOn w:val="Report-Body"/>
    <w:semiHidden/>
    <w:qFormat/>
    <w:rsid w:val="00ED6887"/>
    <w:rPr>
      <w:color w:val="auto"/>
    </w:rPr>
  </w:style>
  <w:style w:type="paragraph" w:customStyle="1" w:styleId="Report-Metadata">
    <w:name w:val="Report - Metadata"/>
    <w:basedOn w:val="Report-Body"/>
    <w:qFormat/>
    <w:rsid w:val="00F34DD5"/>
    <w:pPr>
      <w:ind w:left="720"/>
    </w:pPr>
    <w:rPr>
      <w:b/>
      <w:bCs/>
      <w:sz w:val="18"/>
      <w:szCs w:val="16"/>
    </w:rPr>
  </w:style>
  <w:style w:type="character" w:customStyle="1" w:styleId="scxw86120433">
    <w:name w:val="scxw86120433"/>
    <w:basedOn w:val="DefaultParagraphFont"/>
    <w:semiHidden/>
    <w:rsid w:val="00756906"/>
  </w:style>
  <w:style w:type="paragraph" w:customStyle="1" w:styleId="Report-SnippetSubheadLvl3">
    <w:name w:val="Report - Snippet Subhead Lvl. 3"/>
    <w:basedOn w:val="Report-Body"/>
    <w:next w:val="Report-Body"/>
    <w:semiHidden/>
    <w:qFormat/>
    <w:rsid w:val="00D10461"/>
    <w:pPr>
      <w:spacing w:before="240" w:after="240"/>
      <w:ind w:left="143" w:right="134"/>
    </w:pPr>
    <w:rPr>
      <w:rFonts w:eastAsiaTheme="majorEastAsia"/>
      <w:b/>
      <w:bCs/>
    </w:rPr>
  </w:style>
  <w:style w:type="paragraph" w:customStyle="1" w:styleId="Report-MetadataDOT">
    <w:name w:val="Report - Metadata DOT"/>
    <w:basedOn w:val="Report-Body"/>
    <w:semiHidden/>
    <w:qFormat/>
    <w:rsid w:val="0081707F"/>
    <w:pPr>
      <w:ind w:left="720"/>
    </w:pPr>
    <w:rPr>
      <w:rFonts w:eastAsiaTheme="majorEastAsia"/>
      <w:b/>
      <w:bCs/>
      <w:color w:val="7F7F7F" w:themeColor="text1" w:themeTint="80"/>
      <w:sz w:val="16"/>
      <w:szCs w:val="16"/>
    </w:rPr>
  </w:style>
  <w:style w:type="character" w:customStyle="1" w:styleId="scxw58347994">
    <w:name w:val="scxw58347994"/>
    <w:basedOn w:val="DefaultParagraphFont"/>
    <w:semiHidden/>
    <w:rsid w:val="007B77A6"/>
  </w:style>
  <w:style w:type="character" w:styleId="PlaceholderText">
    <w:name w:val="Placeholder Text"/>
    <w:basedOn w:val="DefaultParagraphFont"/>
    <w:uiPriority w:val="99"/>
    <w:semiHidden/>
    <w:rsid w:val="002233E3"/>
    <w:rPr>
      <w:color w:val="666666"/>
    </w:rPr>
  </w:style>
  <w:style w:type="table" w:styleId="TableGrid">
    <w:name w:val="Table Grid"/>
    <w:basedOn w:val="TableNormal"/>
    <w:uiPriority w:val="39"/>
    <w:semiHidden/>
    <w:rsid w:val="009A6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ummaryAndSnippets">
    <w:name w:val="SummaryAndSnippets"/>
    <w:basedOn w:val="TableNormal"/>
    <w:uiPriority w:val="99"/>
    <w:rsid w:val="009A6103"/>
    <w:pPr>
      <w:spacing w:after="0" w:line="240" w:lineRule="auto"/>
    </w:pPr>
    <w:rPr>
      <w:rFonts w:ascii="Arial" w:hAnsi="Arial"/>
    </w:rPr>
    <w:tblPr>
      <w:tblInd w:w="706" w:type="dxa"/>
      <w:tblBorders>
        <w:top w:val="single" w:sz="6" w:space="0" w:color="E8E8E8"/>
        <w:left w:val="single" w:sz="6" w:space="0" w:color="E8E8E8"/>
        <w:bottom w:val="single" w:sz="6" w:space="0" w:color="E8E8E8"/>
        <w:right w:val="single" w:sz="6" w:space="0" w:color="E8E8E8"/>
        <w:insideH w:val="single" w:sz="6" w:space="0" w:color="E8E8E8"/>
        <w:insideV w:val="single" w:sz="6" w:space="0" w:color="E8E8E8"/>
      </w:tblBorders>
      <w:tblCellMar>
        <w:top w:w="173" w:type="dxa"/>
        <w:left w:w="173" w:type="dxa"/>
        <w:bottom w:w="173" w:type="dxa"/>
        <w:right w:w="173" w:type="dxa"/>
      </w:tblCellMar>
    </w:tblPr>
    <w:tcPr>
      <w:shd w:val="clear" w:color="auto" w:fill="auto"/>
    </w:tcPr>
  </w:style>
  <w:style w:type="table" w:customStyle="1" w:styleId="AnswerBody">
    <w:name w:val="AnswerBody"/>
    <w:basedOn w:val="SummaryAndSnippets"/>
    <w:uiPriority w:val="99"/>
    <w:semiHidden/>
    <w:rsid w:val="007E5AC0"/>
    <w:tblPr>
      <w:tblInd w:w="0" w:type="dxa"/>
    </w:tblPr>
  </w:style>
  <w:style w:type="numbering" w:customStyle="1" w:styleId="ResearchSteps">
    <w:name w:val="ResearchSteps"/>
    <w:uiPriority w:val="99"/>
    <w:semiHidden/>
    <w:rsid w:val="000A62DD"/>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https://i1.next.westlaw.com/permalink/indigo/flag_yellow_small.png" TargetMode="External" /><Relationship Id="rId11" Type="http://schemas.openxmlformats.org/officeDocument/2006/relationships/hyperlink" Target="https://1.next.westlaw.com/Document/N7AE9276049C511EFA886AABCA91E19EC/View/FullText.html?transitionType=AIGuidedResearch&amp;contextData=%28sc.Default%29&amp;list=All&amp;listSource=WebsiteInternal&amp;conversationId=a8dcba1b-64f3-46b2-a919-1966ac544719" TargetMode="External" /><Relationship Id="rId12" Type="http://schemas.openxmlformats.org/officeDocument/2006/relationships/hyperlink" Target="https://1.next.westlaw.com/Document/I562b7e39f96e11d99439b076ef9ec4de/View/FullText.html?transitionType=AIGuidedResearch&amp;contextData=%28sc.Default%29&amp;list=All&amp;listSource=WebsiteInternal&amp;conversationId=a8dcba1b-64f3-46b2-a919-1966ac544719" TargetMode="External" /><Relationship Id="rId13" Type="http://schemas.openxmlformats.org/officeDocument/2006/relationships/hyperlink" Target="https://1.next.westlaw.com/Document/I1e74d6d5f96f11d9b386b232635db992/View/FullText.html?transitionType=AIGuidedResearch&amp;contextData=%28sc.Default%29&amp;list=All&amp;listSource=WebsiteInternal&amp;conversationId=a8dcba1b-64f3-46b2-a919-1966ac544719" TargetMode="External" /><Relationship Id="rId14" Type="http://schemas.openxmlformats.org/officeDocument/2006/relationships/hyperlink" Target="https://1.next.westlaw.com/Document/I1d43e37fbc0f11d992f6990153456d92/View/FullText.html?transitionType=AIGuidedResearch&amp;contextData=%28sc.Default%29&amp;list=All&amp;listSource=WebsiteInternal&amp;conversationId=a8dcba1b-64f3-46b2-a919-1966ac544719" TargetMode="External" /><Relationship Id="rId15" Type="http://schemas.openxmlformats.org/officeDocument/2006/relationships/hyperlink" Target="https://1.next.westlaw.com/Document/Ie5aadb427b7211eb952ab3938a9c857a/View/FullText.html?transitionType=AIGuidedResearch&amp;contextData=%28sc.Default%29&amp;list=All&amp;listSource=WebsiteInternal&amp;conversationId=a8dcba1b-64f3-46b2-a919-1966ac544719" TargetMode="External" /><Relationship Id="rId16" Type="http://schemas.openxmlformats.org/officeDocument/2006/relationships/hyperlink" Target="https://1.next.westlaw.com/Document/Ibb0a1089ef0511e28578f7ccc38dcbee/View/FullText.html?transitionType=AIGuidedResearch&amp;contextData=%28sc.Default%29&amp;list=All&amp;listSource=WebsiteInternal&amp;conversationId=a8dcba1b-64f3-46b2-a919-1966ac544719" TargetMode="External" /><Relationship Id="rId17" Type="http://schemas.openxmlformats.org/officeDocument/2006/relationships/hyperlink" Target="https://1.next.westlaw.com/Document/I59dd10f4ef2a11e28578f7ccc38dcbee/View/FullText.html?transitionType=AIGuidedResearch&amp;contextData=%28sc.Default%29&amp;list=All&amp;listSource=WebsiteInternal&amp;conversationId=a8dcba1b-64f3-46b2-a919-1966ac544719" TargetMode="External" /><Relationship Id="rId18" Type="http://schemas.openxmlformats.org/officeDocument/2006/relationships/hyperlink" Target="https://1.next.westlaw.com/Document/I7d357bf375c711ea80afece799150095/View/FullText.html?transitionType=AIGuidedResearch&amp;contextData=%28sc.Default%29&amp;list=All&amp;listSource=WebsiteInternal&amp;conversationId=a8dcba1b-64f3-46b2-a919-1966ac544719" TargetMode="External" /><Relationship Id="rId19" Type="http://schemas.openxmlformats.org/officeDocument/2006/relationships/header" Target="header1.xml"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footer" Target="footer2.xml" /><Relationship Id="rId22" Type="http://schemas.openxmlformats.org/officeDocument/2006/relationships/theme" Target="theme/theme1.xml" /><Relationship Id="rId23" Type="http://schemas.openxmlformats.org/officeDocument/2006/relationships/numbering" Target="numbering.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yperlink" Target="https://1.next.westlaw.com/Document/NB37511D0E92411DBB234EB2E0FBE04D9/View/FullText.html?transitionType=AIGuidedResearch&amp;contextData=%28sc.Default%29&amp;list=All&amp;listSource=WebsiteInternal&amp;conversationId=a8dcba1b-64f3-46b2-a919-1966ac544719" TargetMode="External" /><Relationship Id="rId5" Type="http://schemas.openxmlformats.org/officeDocument/2006/relationships/hyperlink" Target="https://1.next.westlaw.com/Document/NF81F7660E91811DB929BA2D7B6842081/View/FullText.html?transitionType=AIGuidedResearch&amp;contextData=%28sc.Default%29&amp;list=All&amp;listSource=WebsiteInternal&amp;conversationId=a8dcba1b-64f3-46b2-a919-1966ac544719" TargetMode="External" /><Relationship Id="rId6" Type="http://schemas.openxmlformats.org/officeDocument/2006/relationships/hyperlink" Target="https://1.next.westlaw.com/Document/Idbebd7001f3811ee8206fb24d9926225/View/FullText.html?transitionType=AIGuidedResearch&amp;contextData=%28sc.Default%29&amp;list=All&amp;listSource=WebsiteInternal&amp;conversationId=a8dcba1b-64f3-46b2-a919-1966ac544719" TargetMode="External" /><Relationship Id="rId7" Type="http://schemas.openxmlformats.org/officeDocument/2006/relationships/hyperlink" Target="https://1.next.westlaw.com/Document/Ibad9311652ae11e39ac8bab74931929c/View/FullText.html?transitionType=AIGuidedResearch&amp;contextData=%28sc.Default%29&amp;list=All&amp;listSource=WebsiteInternal&amp;conversationId=a8dcba1b-64f3-46b2-a919-1966ac544719" TargetMode="External" /><Relationship Id="rId8" Type="http://schemas.openxmlformats.org/officeDocument/2006/relationships/hyperlink" Target="https://1.next.westlaw.com/Document/I9a5b459038bd11ec942aeddc9ab46cc4/View/FullText.html?transitionType=AIGuidedResearch&amp;contextData=%28sc.Default%29&amp;list=All&amp;listSource=WebsiteInternal&amp;conversationId=a8dcba1b-64f3-46b2-a919-1966ac544719" TargetMode="External" /><Relationship Id="rId9" Type="http://schemas.openxmlformats.org/officeDocument/2006/relationships/hyperlink" Target="https://1.next.westlaw.com/Link/RelatedInformation/Flag?docGuid=N7AE9276049C511EFA886AABCA91E19EC&amp;ppcid=i0a89b42b0000019c44030233ae3a5cc6&amp;transitionType=AIGuidedResearch&amp;contextData=%28sc.Default%29&amp;conversationId=a8dcba1b-64f3-46b2-a919-1966ac5447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767</TotalTime>
  <Pages>14</Pages>
  <Words>45</Words>
  <Characters>941</Characters>
  <Application>Microsoft Office Word</Application>
  <DocSecurity>0</DocSecurity>
  <Lines>85</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Westlaw AI Deep Research</dc:creator>
  <cp:lastModifiedBy>Hongslo, Michael (TR Technology)</cp:lastModifiedBy>
  <cp:revision>267</cp:revision>
  <dcterms:created xsi:type="dcterms:W3CDTF">2025-07-30T20:26:00Z</dcterms:created>
  <dcterms:modified xsi:type="dcterms:W3CDTF">2026-02-02T20:41:00Z</dcterms:modified>
</cp:coreProperties>
</file>