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 Notes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is last day on duty</w:t>
      </w:r>
    </w:p>
    <w:p w:rsidR="00000000" w:rsidDel="00000000" w:rsidP="00000000" w:rsidRDefault="00000000" w:rsidRPr="00000000" w14:paraId="0000000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thing to remember in Calzone is that court develops an account of why you might be able to recover, and why a duty might exist, even in cases w/ no impact. </w:t>
      </w:r>
    </w:p>
    <w:p w:rsidR="00000000" w:rsidDel="00000000" w:rsidP="00000000" w:rsidRDefault="00000000" w:rsidRPr="00000000" w14:paraId="0000000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negligence even where no impact, so long as fright and injury are direct consequence, you can recover.</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Metro North - </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few cases where SCOTUS gets involved with torts</w:t>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Employer’s Liability Act - federal tort statute</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 Buckley exposed to asbestos while working for Metro North.He feared he would get asbestos related diseases (but had not yet)</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Ruling is that he cannot recover unless there are some symptoms of the condition/disease</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Employers’ Liability Act is a statute that allows for recovery for injuries caused by the negligence of an employer.</w:t>
      </w:r>
    </w:p>
    <w:p w:rsidR="00000000" w:rsidDel="00000000" w:rsidP="00000000" w:rsidRDefault="00000000" w:rsidRPr="00000000" w14:paraId="0000000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M-N argued that yes, there were injuries, but there was no </w:t>
      </w:r>
      <w:r w:rsidDel="00000000" w:rsidR="00000000" w:rsidRPr="00000000">
        <w:rPr>
          <w:rFonts w:ascii="Times New Roman" w:cs="Times New Roman" w:eastAsia="Times New Roman" w:hAnsi="Times New Roman"/>
          <w:i w:val="1"/>
          <w:rtl w:val="0"/>
        </w:rPr>
        <w:t xml:space="preserve">physical</w:t>
      </w:r>
      <w:r w:rsidDel="00000000" w:rsidR="00000000" w:rsidRPr="00000000">
        <w:rPr>
          <w:rFonts w:ascii="Times New Roman" w:cs="Times New Roman" w:eastAsia="Times New Roman" w:hAnsi="Times New Roman"/>
          <w:rtl w:val="0"/>
        </w:rPr>
        <w:t xml:space="preserve"> harm</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Buckley recover even though he hasn’t developed cancer?</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prior case (Gottshall), SCOTUS had held that FELA mirrored general common law where you can recover for emotional harm where you have a physical impact, or you were in the “zone of danger” of imminent bodily harm. Reads physical impact to be a type of traumatic event, not mere physical contact, exposure to a substance that might cause a disease in the future does not qualify as a physical impact under this rationale.</w:t>
      </w:r>
    </w:p>
    <w:p w:rsidR="00000000" w:rsidDel="00000000" w:rsidP="00000000" w:rsidRDefault="00000000" w:rsidRPr="00000000" w14:paraId="0000001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Provides three rationales:</w:t>
      </w:r>
    </w:p>
    <w:p w:rsidR="00000000" w:rsidDel="00000000" w:rsidP="00000000" w:rsidRDefault="00000000" w:rsidRPr="00000000" w14:paraId="00000011">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separate trivial from false claims without a physical impact: for example, here the data itself is not clear and so it would be difficult to establish whether a reaction to increased mortality risk is reasonable.</w:t>
      </w:r>
    </w:p>
    <w:p w:rsidR="00000000" w:rsidDel="00000000" w:rsidP="00000000" w:rsidRDefault="00000000" w:rsidRPr="00000000" w14:paraId="00000012">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of unlimited liability</w:t>
      </w:r>
    </w:p>
    <w:p w:rsidR="00000000" w:rsidDel="00000000" w:rsidP="00000000" w:rsidRDefault="00000000" w:rsidRPr="00000000" w14:paraId="00000013">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a flood of claims</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there is no duty to prevent emotional harm unless linked to the physical impact standard as laid out by the court; unwilling to treat the exposure as a physical impact in the absence of a “real” injury.</w:t>
      </w:r>
    </w:p>
    <w:p w:rsidR="00000000" w:rsidDel="00000000" w:rsidP="00000000" w:rsidRDefault="00000000" w:rsidRPr="00000000" w14:paraId="00000015">
      <w:pPr>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doesn’t want to use the term “physical impact” in an expansive way. </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Fears of unlimited liability; opening door to many claims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of danger duty to take care against causing employees distress over the prospect of imminent bodily harm. Because Buckley didn’t have imminent harm, his claim failed for lack of duty</w:t>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 harms fail under a strict zone test. Court is not amenable where the claims are speculative.</w:t>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courts purport to require physical manifestations; some are less strict here. </w:t>
      </w:r>
    </w:p>
    <w:p w:rsidR="00000000" w:rsidDel="00000000" w:rsidP="00000000" w:rsidRDefault="00000000" w:rsidRPr="00000000" w14:paraId="0000001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possible liability threshold is </w:t>
      </w:r>
      <w:r w:rsidDel="00000000" w:rsidR="00000000" w:rsidRPr="00000000">
        <w:rPr>
          <w:rFonts w:ascii="Times New Roman" w:cs="Times New Roman" w:eastAsia="Times New Roman" w:hAnsi="Times New Roman"/>
          <w:i w:val="1"/>
          <w:rtl w:val="0"/>
        </w:rPr>
        <w:t xml:space="preserve">Potter</w:t>
      </w:r>
      <w:r w:rsidDel="00000000" w:rsidR="00000000" w:rsidRPr="00000000">
        <w:rPr>
          <w:rtl w:val="0"/>
        </w:rPr>
      </w:r>
    </w:p>
    <w:p w:rsidR="00000000" w:rsidDel="00000000" w:rsidP="00000000" w:rsidRDefault="00000000" w:rsidRPr="00000000" w14:paraId="0000001D">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case, court holds that emotional distress is recoverable despite no zone of danger in cases where science indicate that disease is more probable than not. </w:t>
      </w:r>
    </w:p>
    <w:p w:rsidR="00000000" w:rsidDel="00000000" w:rsidP="00000000" w:rsidRDefault="00000000" w:rsidRPr="00000000" w14:paraId="0000001E">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potentially tantamount to the no-recovery rule in Metro-North</w:t>
      </w:r>
    </w:p>
    <w:p w:rsidR="00000000" w:rsidDel="00000000" w:rsidP="00000000" w:rsidRDefault="00000000" w:rsidRPr="00000000" w14:paraId="0000001F">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in </w:t>
      </w:r>
      <w:r w:rsidDel="00000000" w:rsidR="00000000" w:rsidRPr="00000000">
        <w:rPr>
          <w:rFonts w:ascii="Times New Roman" w:cs="Times New Roman" w:eastAsia="Times New Roman" w:hAnsi="Times New Roman"/>
          <w:i w:val="1"/>
          <w:rtl w:val="0"/>
        </w:rPr>
        <w:t xml:space="preserve">Potter</w:t>
      </w:r>
      <w:r w:rsidDel="00000000" w:rsidR="00000000" w:rsidRPr="00000000">
        <w:rPr>
          <w:rFonts w:ascii="Cardo" w:cs="Cardo" w:eastAsia="Cardo" w:hAnsi="Cardo"/>
          <w:rtl w:val="0"/>
        </w:rPr>
        <w:t xml:space="preserve"> the focus is on emotional distress being recoverable, the court is actually saying that, like in M-N, it’s tantamount to a no-recovery rule → “more likely than not” is a hard standard to prove</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Falzone would probably not allow Buckley to recover → Buckley is too speculative; it’s important that the person in the car was in a genuine zone of danger</w:t>
      </w:r>
    </w:p>
    <w:p w:rsidR="00000000" w:rsidDel="00000000" w:rsidP="00000000" w:rsidRDefault="00000000" w:rsidRPr="00000000" w14:paraId="00000021">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cases seem to have the underlying question of “should you really be so distressed?” </w:t>
      </w:r>
    </w:p>
    <w:p w:rsidR="00000000" w:rsidDel="00000000" w:rsidP="00000000" w:rsidRDefault="00000000" w:rsidRPr="00000000" w14:paraId="00000022">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turns on whether or not you were actually at risk of immediate harm</w:t>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exceptions to no-duty in all three cases seem to be:</w:t>
      </w:r>
    </w:p>
    <w:p w:rsidR="00000000" w:rsidDel="00000000" w:rsidP="00000000" w:rsidRDefault="00000000" w:rsidRPr="00000000" w14:paraId="00000024">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harm (Falzone)</w:t>
      </w:r>
    </w:p>
    <w:p w:rsidR="00000000" w:rsidDel="00000000" w:rsidP="00000000" w:rsidRDefault="00000000" w:rsidRPr="00000000" w14:paraId="00000025">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of Danger (Metro North)</w:t>
      </w:r>
    </w:p>
    <w:p w:rsidR="00000000" w:rsidDel="00000000" w:rsidP="00000000" w:rsidRDefault="00000000" w:rsidRPr="00000000" w14:paraId="00000026">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50% (Potter)</w:t>
      </w:r>
    </w:p>
    <w:p w:rsidR="00000000" w:rsidDel="00000000" w:rsidP="00000000" w:rsidRDefault="00000000" w:rsidRPr="00000000" w14:paraId="00000027">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of danger test is unambiguously the most important in tort law. Falzone lays the groundwork for Zone of Danger. Khosla underscores Zone of Danger test and suggests reading Potter as an odd case</w:t>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 of Danger test feels like an analogue to the court’s recognition of the two torts of assault and battery.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Gammon v. Osteopathic Hospital of Maine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Facts</w:t>
      </w:r>
      <w:r w:rsidDel="00000000" w:rsidR="00000000" w:rsidRPr="00000000">
        <w:rPr>
          <w:rFonts w:ascii="Times New Roman" w:cs="Times New Roman" w:eastAsia="Times New Roman" w:hAnsi="Times New Roman"/>
          <w:sz w:val="24"/>
          <w:szCs w:val="24"/>
          <w:rtl w:val="0"/>
        </w:rPr>
        <w:t xml:space="preserve">: DF father passed away in hospital. Son received father’s personal effects in a bag. The bag included a leg severed at the knee. He freaked out, anxiety and panic and damaged his relationship with wife and kids. Eventually started to get better, but never sought professional help.</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w:t>
      </w:r>
      <w:r w:rsidDel="00000000" w:rsidR="00000000" w:rsidRPr="00000000">
        <w:rPr>
          <w:rFonts w:ascii="Times New Roman" w:cs="Times New Roman" w:eastAsia="Times New Roman" w:hAnsi="Times New Roman"/>
          <w:sz w:val="24"/>
          <w:szCs w:val="24"/>
          <w:rtl w:val="0"/>
        </w:rPr>
        <w:t xml:space="preserve">: Trial court downplays the reasonableness of being so distressed by a severed leg.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has the PL established a claim for emotional distress?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Holding/reasoning</w:t>
      </w:r>
      <w:r w:rsidDel="00000000" w:rsidR="00000000" w:rsidRPr="00000000">
        <w:rPr>
          <w:rFonts w:ascii="Times New Roman" w:cs="Times New Roman" w:eastAsia="Times New Roman" w:hAnsi="Times New Roman"/>
          <w:sz w:val="24"/>
          <w:szCs w:val="24"/>
          <w:rtl w:val="0"/>
        </w:rPr>
        <w:t xml:space="preserve">: applies a reasonable foreseeability standard, based on severity and an objectively reasonable person standard (no eggshell plaintiffs).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traditional situations for emotional distress (“artificial devices”): 1) Emotional distress is caused because of action that has actually or intentionally been recklessly inflicted, 2) Emotional distress has been caused by physical injury, 3) NIED causes physical injury.</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Court says all three of these tests are unhelpful doctrinal approaches and are doing more harm than good. Wants to do away with them because they all boil down to foreseeability, focus on artificiality of the devices and failure to map onto actual facts of a case, and were created to avoid burdensome liability claims that are difficult to adjudicate → court says you can come up with a new approach that deals with these issues because the trial process itself protects against fraudulent claims. We can rely on the reasonable foreseeability standard to deal with the problems of burdensome liability claims through objective analysis. “Reasonably sensitive person.”</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ultimately concludes that families of people who recently passed away are exceptionally vulnerable. Thus it is reasonable to foresee that someone in that position will suffer great emotional distress if the body of a relative has been mishandled. DF should have foreseen the mental distress that would follow from their negligence. </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an underlying animating logic that there is a relationship between both the victim class and the defendant’s activity</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Khosla: this shows how courts sometimes oscillate between a multifactor test (think </w:t>
      </w:r>
      <w:r w:rsidDel="00000000" w:rsidR="00000000" w:rsidRPr="00000000">
        <w:rPr>
          <w:rFonts w:ascii="Times New Roman" w:cs="Times New Roman" w:eastAsia="Times New Roman" w:hAnsi="Times New Roman"/>
          <w:i w:val="1"/>
          <w:sz w:val="24"/>
          <w:szCs w:val="24"/>
          <w:rtl w:val="0"/>
        </w:rPr>
        <w:t xml:space="preserve">Cuffy</w:t>
      </w:r>
      <w:r w:rsidDel="00000000" w:rsidR="00000000" w:rsidRPr="00000000">
        <w:rPr>
          <w:rFonts w:ascii="Times New Roman" w:cs="Times New Roman" w:eastAsia="Times New Roman" w:hAnsi="Times New Roman"/>
          <w:sz w:val="24"/>
          <w:szCs w:val="24"/>
          <w:rtl w:val="0"/>
        </w:rPr>
        <w:t xml:space="preserve">) and basic principles (reasonable foreseeability)</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Khosla: we aren’t interested in how the court frames the foreseeability requirement; not interested in what the plaintiff has gone through as an individual person; but with what the reasonable plaintiff would have gone through, had they been in that position.</w:t>
      </w:r>
    </w:p>
    <w:p w:rsidR="00000000" w:rsidDel="00000000" w:rsidP="00000000" w:rsidRDefault="00000000" w:rsidRPr="00000000" w14:paraId="0000003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“Tort law doesn’t care about me.”</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doesn’t recognize or impose a general duty of care for anyone who might suffer emotional distress because a person’s body has not been dealt with carefully. Rather, there is some duty of care owed to the relatives specifically. </w:t>
      </w:r>
    </w:p>
    <w:p w:rsidR="00000000" w:rsidDel="00000000" w:rsidP="00000000" w:rsidRDefault="00000000" w:rsidRPr="00000000" w14:paraId="0000003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ask who the duty is owed to</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case like this, we are departing from the standard no duty rule. </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Exceptions to no duty rule </w:t>
      </w:r>
    </w:p>
    <w:p w:rsidR="00000000" w:rsidDel="00000000" w:rsidP="00000000" w:rsidRDefault="00000000" w:rsidRPr="00000000" w14:paraId="0000003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miss/zone of danger</w:t>
      </w:r>
    </w:p>
    <w:p w:rsidR="00000000" w:rsidDel="00000000" w:rsidP="00000000" w:rsidRDefault="00000000" w:rsidRPr="00000000" w14:paraId="0000003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Bystander (limiting principle) (victim)</w:t>
      </w:r>
    </w:p>
    <w:p w:rsidR="00000000" w:rsidDel="00000000" w:rsidP="00000000" w:rsidRDefault="00000000" w:rsidRPr="00000000" w14:paraId="0000003F">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follow foreseeability requirement</w:t>
      </w:r>
    </w:p>
    <w:p w:rsidR="00000000" w:rsidDel="00000000" w:rsidP="00000000" w:rsidRDefault="00000000" w:rsidRPr="00000000" w14:paraId="00000040">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whether bystander cases are also basically zone of danger cases?</w:t>
      </w:r>
    </w:p>
    <w:p w:rsidR="00000000" w:rsidDel="00000000" w:rsidP="00000000" w:rsidRDefault="00000000" w:rsidRPr="00000000" w14:paraId="00000041">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Plaintiff is claiming eyewitness harm. No direct injury.</w:t>
      </w:r>
    </w:p>
    <w:p w:rsidR="00000000" w:rsidDel="00000000" w:rsidP="00000000" w:rsidRDefault="00000000" w:rsidRPr="00000000" w14:paraId="00000042">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these situations allow all foreseeable victims to recover.</w:t>
      </w:r>
    </w:p>
    <w:p w:rsidR="00000000" w:rsidDel="00000000" w:rsidP="00000000" w:rsidRDefault="00000000" w:rsidRPr="00000000" w14:paraId="0000004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about your job means that you can cause emotional harm if you are negligent, in particular. (defendant) </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Falzone doesn’t agree to any exceptions to fright/zone of danger limitations. </w:t>
      </w:r>
    </w:p>
    <w:p w:rsidR="00000000" w:rsidDel="00000000" w:rsidP="00000000" w:rsidRDefault="00000000" w:rsidRPr="00000000" w14:paraId="0000004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Unlikely Falzone court would recognize this case? Debate. </w:t>
      </w:r>
    </w:p>
    <w:p w:rsidR="00000000" w:rsidDel="00000000" w:rsidP="00000000" w:rsidRDefault="00000000" w:rsidRPr="00000000" w14:paraId="0000004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zone of danger requirement always need physical manifestations?</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foreseeable distress mean?</w:t>
      </w:r>
    </w:p>
    <w:p w:rsidR="00000000" w:rsidDel="00000000" w:rsidP="00000000" w:rsidRDefault="00000000" w:rsidRPr="00000000" w14:paraId="0000004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Emphasizes defendant doing activity could result in foreseeable emotional distress.</w:t>
      </w:r>
    </w:p>
    <w:p w:rsidR="00000000" w:rsidDel="00000000" w:rsidP="00000000" w:rsidRDefault="00000000" w:rsidRPr="00000000" w14:paraId="0000004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kind of person is an ordinary person, and the distress required is severe emotional distress</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way, all these cases are arbitrary.”</w:t>
      </w:r>
    </w:p>
    <w:p w:rsidR="00000000" w:rsidDel="00000000" w:rsidP="00000000" w:rsidRDefault="00000000" w:rsidRPr="00000000" w14:paraId="0000004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Portee v. Jaffee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Facts</w:t>
      </w:r>
      <w:r w:rsidDel="00000000" w:rsidR="00000000" w:rsidRPr="00000000">
        <w:rPr>
          <w:rFonts w:ascii="Times New Roman" w:cs="Times New Roman" w:eastAsia="Times New Roman" w:hAnsi="Times New Roman"/>
          <w:sz w:val="24"/>
          <w:szCs w:val="24"/>
          <w:rtl w:val="0"/>
        </w:rPr>
        <w:t xml:space="preserve">: 7 year old son lived in apartment building owned by defendant Jaffee. P’s son was trapped in elevator shaft and died during rescue attempt while P could only look on. After witnessing death, P became depressed and suicidal.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can the PL recover for ED where there is no potential for direct physical injury, but you experience distress due to negligent infliction of injury on another person?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Holding/reasoning</w:t>
      </w:r>
      <w:r w:rsidDel="00000000" w:rsidR="00000000" w:rsidRPr="00000000">
        <w:rPr>
          <w:rFonts w:ascii="Times New Roman" w:cs="Times New Roman" w:eastAsia="Times New Roman" w:hAnsi="Times New Roman"/>
          <w:sz w:val="24"/>
          <w:szCs w:val="24"/>
          <w:rtl w:val="0"/>
        </w:rPr>
        <w:t xml:space="preserve">: Court looks at 1) Personal interests that have been injured (here a specific interest in parental love) 2) the Dillon test, creating a set of clear guidelines for foreseeability inquiry via a set of factors that, if met, allow recovery for ED. Develops a test and applies it:</w:t>
      </w:r>
    </w:p>
    <w:p w:rsidR="00000000" w:rsidDel="00000000" w:rsidP="00000000" w:rsidRDefault="00000000" w:rsidRPr="00000000" w14:paraId="00000050">
      <w:pPr>
        <w:numPr>
          <w:ilvl w:val="0"/>
          <w:numId w:val="8"/>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PL needs to be near the scene of the accident</w:t>
      </w:r>
      <w:r w:rsidDel="00000000" w:rsidR="00000000" w:rsidRPr="00000000">
        <w:rPr>
          <w:rFonts w:ascii="Cardo" w:cs="Cardo" w:eastAsia="Cardo" w:hAnsi="Cardo"/>
          <w:sz w:val="24"/>
          <w:szCs w:val="24"/>
          <w:rtl w:val="0"/>
        </w:rPr>
        <w:t xml:space="preserve"> → proximity to scene increases likelihood of witnessing the injury…what’s crucial however is not distance, but rather witnessing the accident (</w:t>
      </w:r>
      <w:r w:rsidDel="00000000" w:rsidR="00000000" w:rsidRPr="00000000">
        <w:rPr>
          <w:rFonts w:ascii="Times New Roman" w:cs="Times New Roman" w:eastAsia="Times New Roman" w:hAnsi="Times New Roman"/>
          <w:i w:val="1"/>
          <w:sz w:val="24"/>
          <w:szCs w:val="24"/>
          <w:rtl w:val="0"/>
        </w:rPr>
        <w:t xml:space="preserve">Dillon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8"/>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Emotional distress linked to personally witnessing the injury,</w:t>
      </w:r>
      <w:r w:rsidDel="00000000" w:rsidR="00000000" w:rsidRPr="00000000">
        <w:rPr>
          <w:rFonts w:ascii="Cardo" w:cs="Cardo" w:eastAsia="Cardo" w:hAnsi="Cardo"/>
          <w:sz w:val="24"/>
          <w:szCs w:val="24"/>
          <w:rtl w:val="0"/>
        </w:rPr>
        <w:t xml:space="preserve"> → PL did witness the accident and that caused the shock (</w:t>
      </w:r>
      <w:r w:rsidDel="00000000" w:rsidR="00000000" w:rsidRPr="00000000">
        <w:rPr>
          <w:rFonts w:ascii="Times New Roman" w:cs="Times New Roman" w:eastAsia="Times New Roman" w:hAnsi="Times New Roman"/>
          <w:i w:val="1"/>
          <w:sz w:val="24"/>
          <w:szCs w:val="24"/>
          <w:rtl w:val="0"/>
        </w:rPr>
        <w:t xml:space="preserve">Dillon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8"/>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Close relationship between plaintiff and DF</w:t>
      </w:r>
      <w:r w:rsidDel="00000000" w:rsidR="00000000" w:rsidRPr="00000000">
        <w:rPr>
          <w:rFonts w:ascii="Cardo" w:cs="Cardo" w:eastAsia="Cardo" w:hAnsi="Cardo"/>
          <w:sz w:val="24"/>
          <w:szCs w:val="24"/>
          <w:rtl w:val="0"/>
        </w:rPr>
        <w:t xml:space="preserve"> → mother/son clearly qualifies (</w:t>
      </w:r>
      <w:r w:rsidDel="00000000" w:rsidR="00000000" w:rsidRPr="00000000">
        <w:rPr>
          <w:rFonts w:ascii="Times New Roman" w:cs="Times New Roman" w:eastAsia="Times New Roman" w:hAnsi="Times New Roman"/>
          <w:i w:val="1"/>
          <w:sz w:val="24"/>
          <w:szCs w:val="24"/>
          <w:rtl w:val="0"/>
        </w:rPr>
        <w:t xml:space="preserve">Dillon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8"/>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Must be a reaction to death or serious physical injury caused by DF negligence</w:t>
      </w:r>
      <w:r w:rsidDel="00000000" w:rsidR="00000000" w:rsidRPr="00000000">
        <w:rPr>
          <w:rFonts w:ascii="Times New Roman" w:cs="Times New Roman" w:eastAsia="Times New Roman" w:hAnsi="Times New Roman"/>
          <w:sz w:val="24"/>
          <w:szCs w:val="24"/>
          <w:rtl w:val="0"/>
        </w:rPr>
        <w:t xml:space="preserve"> (added by </w:t>
      </w:r>
      <w:r w:rsidDel="00000000" w:rsidR="00000000" w:rsidRPr="00000000">
        <w:rPr>
          <w:rFonts w:ascii="Times New Roman" w:cs="Times New Roman" w:eastAsia="Times New Roman" w:hAnsi="Times New Roman"/>
          <w:i w:val="1"/>
          <w:sz w:val="24"/>
          <w:szCs w:val="24"/>
          <w:rtl w:val="0"/>
        </w:rPr>
        <w:t xml:space="preserve">Portee </w:t>
      </w:r>
      <w:r w:rsidDel="00000000" w:rsidR="00000000" w:rsidRPr="00000000">
        <w:rPr>
          <w:rFonts w:ascii="Times New Roman" w:cs="Times New Roman" w:eastAsia="Times New Roman" w:hAnsi="Times New Roman"/>
          <w:sz w:val="24"/>
          <w:szCs w:val="24"/>
          <w:rtl w:val="0"/>
        </w:rPr>
        <w:t xml:space="preserve">court, arguably)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This case has no potential for physical injury. It is purely about the distress suffered as a result of physical injury inflicted on another person due to your negligence. </w:t>
      </w:r>
    </w:p>
    <w:p w:rsidR="00000000" w:rsidDel="00000000" w:rsidP="00000000" w:rsidRDefault="00000000" w:rsidRPr="00000000" w14:paraId="00000056">
      <w:pPr>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 problem is determining whether the distress is genuine. </w:t>
      </w:r>
    </w:p>
    <w:p w:rsidR="00000000" w:rsidDel="00000000" w:rsidP="00000000" w:rsidRDefault="00000000" w:rsidRPr="00000000" w14:paraId="00000057">
      <w:pPr>
        <w:numPr>
          <w:ilvl w:val="1"/>
          <w:numId w:val="3"/>
        </w:numPr>
        <w:ind w:left="144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Falzone</w:t>
      </w:r>
      <w:r w:rsidDel="00000000" w:rsidR="00000000" w:rsidRPr="00000000">
        <w:rPr>
          <w:rFonts w:ascii="Times New Roman" w:cs="Times New Roman" w:eastAsia="Times New Roman" w:hAnsi="Times New Roman"/>
          <w:sz w:val="24"/>
          <w:szCs w:val="24"/>
          <w:rtl w:val="0"/>
        </w:rPr>
        <w:t xml:space="preserve"> the genuineness of the distress was limited by the risk of physical harm.</w:t>
      </w:r>
    </w:p>
    <w:p w:rsidR="00000000" w:rsidDel="00000000" w:rsidP="00000000" w:rsidRDefault="00000000" w:rsidRPr="00000000" w14:paraId="00000058">
      <w:pPr>
        <w:numPr>
          <w:ilvl w:val="1"/>
          <w:numId w:val="3"/>
        </w:numPr>
        <w:ind w:left="144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In this case, there’s no risk or appearance of physical harm.</w:t>
      </w:r>
    </w:p>
    <w:p w:rsidR="00000000" w:rsidDel="00000000" w:rsidP="00000000" w:rsidRDefault="00000000" w:rsidRPr="00000000" w14:paraId="00000059">
      <w:pPr>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Court is saying foreseeability test is not specific enough for cases like this. Not doing away with it. Just cabining it. </w:t>
      </w:r>
    </w:p>
    <w:p w:rsidR="00000000" w:rsidDel="00000000" w:rsidP="00000000" w:rsidRDefault="00000000" w:rsidRPr="00000000" w14:paraId="0000005A">
      <w:pPr>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i w:val="1"/>
          <w:sz w:val="24"/>
          <w:szCs w:val="24"/>
          <w:rtl w:val="0"/>
        </w:rPr>
        <w:t xml:space="preserve">Dillon v. Legg</w:t>
      </w:r>
      <w:r w:rsidDel="00000000" w:rsidR="00000000" w:rsidRPr="00000000">
        <w:rPr>
          <w:rFonts w:ascii="Times New Roman" w:cs="Times New Roman" w:eastAsia="Times New Roman" w:hAnsi="Times New Roman"/>
          <w:sz w:val="24"/>
          <w:szCs w:val="24"/>
          <w:rtl w:val="0"/>
        </w:rPr>
        <w:t xml:space="preserve"> - look at proximity, visibility, and relationship. The closer all of these, the greater the foreseeability of emotional harm, and the stronger the argument for the recovery of the plaintiff’s emotional loss. Most courts treated this as a bright line test rather than an “under all the circumstances” test.</w:t>
      </w:r>
    </w:p>
    <w:p w:rsidR="00000000" w:rsidDel="00000000" w:rsidP="00000000" w:rsidRDefault="00000000" w:rsidRPr="00000000" w14:paraId="0000005B">
      <w:pPr>
        <w:numPr>
          <w:ilvl w:val="0"/>
          <w:numId w:val="3"/>
        </w:numPr>
        <w:ind w:left="72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Why couldn’t PL recover for emotional damages subsequent to the physically injury suffered by the PL (an injured wrist)? → while you might be able to get there on factual causation, most courts would deny recovery and say that this self injury is not the natural cause of the DF breach and is too remote to permit recovery on this basis.</w:t>
      </w:r>
    </w:p>
    <w:p w:rsidR="00000000" w:rsidDel="00000000" w:rsidP="00000000" w:rsidRDefault="00000000" w:rsidRPr="00000000" w14:paraId="0000005C">
      <w:pPr>
        <w:numPr>
          <w:ilvl w:val="1"/>
          <w:numId w:val="3"/>
        </w:numPr>
        <w:ind w:left="144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Moreover, when the physical harm is a consequence of the emotional harm it will not be recoverable…potentially because there is a second step in the causal story that is based on the agency of the injured party</w:t>
      </w:r>
    </w:p>
    <w:p w:rsidR="00000000" w:rsidDel="00000000" w:rsidP="00000000" w:rsidRDefault="00000000" w:rsidRPr="00000000" w14:paraId="0000005D">
      <w:pPr>
        <w:numPr>
          <w:ilvl w:val="0"/>
          <w:numId w:val="3"/>
        </w:numPr>
        <w:ind w:left="72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The goal of adding these requirements is to draw a line to determine who is able to recover → these cases are not really about reasonable foreseeability</w:t>
      </w:r>
    </w:p>
    <w:p w:rsidR="00000000" w:rsidDel="00000000" w:rsidP="00000000" w:rsidRDefault="00000000" w:rsidRPr="00000000" w14:paraId="0000005E">
      <w:pPr>
        <w:numPr>
          <w:ilvl w:val="1"/>
          <w:numId w:val="3"/>
        </w:numPr>
        <w:ind w:left="144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Casts a wider net than the zone of danger limitations</w:t>
      </w:r>
    </w:p>
    <w:p w:rsidR="00000000" w:rsidDel="00000000" w:rsidP="00000000" w:rsidRDefault="00000000" w:rsidRPr="00000000" w14:paraId="0000005F">
      <w:pPr>
        <w:numPr>
          <w:ilvl w:val="1"/>
          <w:numId w:val="3"/>
        </w:numPr>
        <w:ind w:left="144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Simultaneously, impose its own set of limitations on liability</w:t>
      </w:r>
    </w:p>
    <w:p w:rsidR="00000000" w:rsidDel="00000000" w:rsidP="00000000" w:rsidRDefault="00000000" w:rsidRPr="00000000" w14:paraId="00000060">
      <w:pPr>
        <w:numPr>
          <w:ilvl w:val="0"/>
          <w:numId w:val="3"/>
        </w:numPr>
        <w:ind w:left="72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Think about: How do we think about bystander cases, especially when we think about the relationality between the negligent action and the wrong to the bystander? → justify by saying that if there is a certain kind of relationship, that gives a vicarious empowerment/set of duties</w:t>
      </w:r>
    </w:p>
    <w:p w:rsidR="00000000" w:rsidDel="00000000" w:rsidP="00000000" w:rsidRDefault="00000000" w:rsidRPr="00000000" w14:paraId="00000061">
      <w:pPr>
        <w:numPr>
          <w:ilvl w:val="1"/>
          <w:numId w:val="3"/>
        </w:numPr>
        <w:ind w:left="144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Khosla: if this is true, then why do we see the imposition of institutional constraints to the extent that we do? → there are certain types of wrongs that we think are valid and should be recognized. May be sympathetic in other situations, but do not believe that they should be recognized legally.</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Tort law is a series of relational harms. See these cases as a way to recognize that these are the kinds of distress that people </w:t>
      </w:r>
      <w:r w:rsidDel="00000000" w:rsidR="00000000" w:rsidRPr="00000000">
        <w:rPr>
          <w:rFonts w:ascii="Times New Roman" w:cs="Times New Roman" w:eastAsia="Times New Roman" w:hAnsi="Times New Roman"/>
          <w:i w:val="1"/>
          <w:sz w:val="24"/>
          <w:szCs w:val="24"/>
          <w:rtl w:val="0"/>
        </w:rPr>
        <w:t xml:space="preserve">should</w:t>
      </w:r>
      <w:r w:rsidDel="00000000" w:rsidR="00000000" w:rsidRPr="00000000">
        <w:rPr>
          <w:rFonts w:ascii="Cardo" w:cs="Cardo" w:eastAsia="Cardo" w:hAnsi="Cardo"/>
          <w:sz w:val="24"/>
          <w:szCs w:val="24"/>
          <w:rtl w:val="0"/>
        </w:rPr>
        <w:t xml:space="preserve"> feel. Distress is a desirable/perfectly understandable and justifiable condition in a set of scenarios. That’s why tort law recognizes it. These tests are not ways to limit liability in a practical way, but are instead ways to weed out what courts think is not an appropriate form of distress → to recognize those other forms is to not take distress seriously</w:t>
      </w:r>
    </w:p>
    <w:p w:rsidR="00000000" w:rsidDel="00000000" w:rsidP="00000000" w:rsidRDefault="00000000" w:rsidRPr="00000000" w14:paraId="0000006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